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60D" w:rsidRDefault="007D483B" w:rsidP="0076660D">
      <w:pPr>
        <w:spacing w:line="240" w:lineRule="auto"/>
        <w:jc w:val="center"/>
        <w:rPr>
          <w:rFonts w:ascii="Times New Roman" w:eastAsia="Times New Roman" w:hAnsi="Times New Roman" w:cs="Times New Roman"/>
          <w:b/>
          <w:color w:val="0D0D0D"/>
          <w:sz w:val="24"/>
          <w:szCs w:val="24"/>
        </w:rPr>
      </w:pPr>
      <w:r w:rsidRPr="007D483B">
        <w:rPr>
          <w:rFonts w:ascii="Times New Roman" w:eastAsia="Times New Roman" w:hAnsi="Times New Roman" w:cs="Times New Roman"/>
          <w:b/>
          <w:color w:val="0D0D0D"/>
          <w:sz w:val="24"/>
          <w:szCs w:val="24"/>
        </w:rPr>
        <w:t>A Study to Assess Knowledge Regarding Nursing Interventions for Patients with Anxiety and Depression among Nursing Students at a Selected Nursing College in Jaipur, Rajasthan</w:t>
      </w:r>
    </w:p>
    <w:p w:rsidR="00B53595" w:rsidRPr="0076660D" w:rsidRDefault="00A82E18">
      <w:pPr>
        <w:spacing w:after="0" w:line="240" w:lineRule="auto"/>
        <w:jc w:val="center"/>
        <w:rPr>
          <w:rFonts w:ascii="Times New Roman" w:eastAsia="Times New Roman" w:hAnsi="Times New Roman" w:cs="Times New Roman"/>
          <w:b/>
          <w:bCs/>
          <w:color w:val="0D0D0D"/>
          <w:sz w:val="24"/>
          <w:szCs w:val="24"/>
        </w:rPr>
      </w:pPr>
      <w:bookmarkStart w:id="0" w:name="_GoBack"/>
      <w:proofErr w:type="spellStart"/>
      <w:r w:rsidRPr="0076660D">
        <w:rPr>
          <w:rFonts w:ascii="Times New Roman" w:eastAsia="Times New Roman" w:hAnsi="Times New Roman" w:cs="Times New Roman"/>
          <w:b/>
          <w:bCs/>
          <w:color w:val="0D0D0D"/>
          <w:sz w:val="24"/>
          <w:szCs w:val="24"/>
        </w:rPr>
        <w:t>Rajender</w:t>
      </w:r>
      <w:proofErr w:type="spellEnd"/>
      <w:r w:rsidRPr="0076660D">
        <w:rPr>
          <w:rFonts w:ascii="Times New Roman" w:eastAsia="Times New Roman" w:hAnsi="Times New Roman" w:cs="Times New Roman"/>
          <w:b/>
          <w:bCs/>
          <w:color w:val="0D0D0D"/>
          <w:sz w:val="24"/>
          <w:szCs w:val="24"/>
        </w:rPr>
        <w:t xml:space="preserve"> Prasad </w:t>
      </w:r>
      <w:proofErr w:type="spellStart"/>
      <w:r w:rsidRPr="0076660D">
        <w:rPr>
          <w:rFonts w:ascii="Times New Roman" w:eastAsia="Times New Roman" w:hAnsi="Times New Roman" w:cs="Times New Roman"/>
          <w:b/>
          <w:bCs/>
          <w:color w:val="0D0D0D"/>
          <w:sz w:val="24"/>
          <w:szCs w:val="24"/>
        </w:rPr>
        <w:t>Bhawaria</w:t>
      </w:r>
      <w:proofErr w:type="spellEnd"/>
    </w:p>
    <w:bookmarkEnd w:id="0"/>
    <w:p w:rsidR="00B53595" w:rsidRDefault="00A82E18">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Principal</w:t>
      </w:r>
    </w:p>
    <w:p w:rsidR="00B53595" w:rsidRDefault="00A82E18">
      <w:pPr>
        <w:spacing w:after="0" w:line="240" w:lineRule="auto"/>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Symbiosis Institute of Nursing, Jaipur, Rajasthan</w:t>
      </w:r>
    </w:p>
    <w:p w:rsidR="00B53595" w:rsidRDefault="0076660D">
      <w:pPr>
        <w:spacing w:after="0" w:line="240" w:lineRule="auto"/>
        <w:jc w:val="center"/>
        <w:rPr>
          <w:rFonts w:ascii="Times New Roman" w:eastAsia="Times New Roman" w:hAnsi="Times New Roman" w:cs="Times New Roman"/>
          <w:color w:val="0000FF"/>
          <w:sz w:val="24"/>
          <w:szCs w:val="24"/>
        </w:rPr>
      </w:pPr>
      <w:hyperlink r:id="rId6">
        <w:r w:rsidR="00A82E18">
          <w:rPr>
            <w:rFonts w:ascii="Times New Roman" w:eastAsia="Times New Roman" w:hAnsi="Times New Roman" w:cs="Times New Roman"/>
            <w:color w:val="0000FF"/>
            <w:sz w:val="24"/>
            <w:szCs w:val="24"/>
          </w:rPr>
          <w:t>rpbhawaria@gmail.com</w:t>
        </w:r>
      </w:hyperlink>
    </w:p>
    <w:p w:rsidR="0076660D" w:rsidRDefault="0076660D" w:rsidP="0076660D">
      <w:pPr>
        <w:spacing w:after="0" w:line="240" w:lineRule="auto"/>
        <w:jc w:val="center"/>
        <w:rPr>
          <w:rFonts w:ascii="Times New Roman" w:eastAsia="Times New Roman" w:hAnsi="Times New Roman" w:cs="Times New Roman"/>
          <w:color w:val="0D0D0D"/>
          <w:sz w:val="24"/>
          <w:szCs w:val="24"/>
        </w:rPr>
      </w:pPr>
      <w:r w:rsidRPr="0076660D">
        <w:rPr>
          <w:rFonts w:ascii="Times New Roman" w:eastAsia="Times New Roman" w:hAnsi="Times New Roman" w:cs="Times New Roman"/>
          <w:sz w:val="24"/>
          <w:szCs w:val="24"/>
        </w:rPr>
        <w:t xml:space="preserve">Corresponding author: </w:t>
      </w:r>
      <w:proofErr w:type="spellStart"/>
      <w:r w:rsidRPr="0076660D">
        <w:rPr>
          <w:rFonts w:ascii="Times New Roman" w:eastAsia="Times New Roman" w:hAnsi="Times New Roman" w:cs="Times New Roman"/>
          <w:color w:val="0D0D0D"/>
          <w:sz w:val="24"/>
          <w:szCs w:val="24"/>
        </w:rPr>
        <w:t>Rajender</w:t>
      </w:r>
      <w:proofErr w:type="spellEnd"/>
      <w:r w:rsidRPr="0076660D">
        <w:rPr>
          <w:rFonts w:ascii="Times New Roman" w:eastAsia="Times New Roman" w:hAnsi="Times New Roman" w:cs="Times New Roman"/>
          <w:color w:val="0D0D0D"/>
          <w:sz w:val="24"/>
          <w:szCs w:val="24"/>
        </w:rPr>
        <w:t xml:space="preserve"> Prasad </w:t>
      </w:r>
      <w:proofErr w:type="spellStart"/>
      <w:r w:rsidRPr="0076660D">
        <w:rPr>
          <w:rFonts w:ascii="Times New Roman" w:eastAsia="Times New Roman" w:hAnsi="Times New Roman" w:cs="Times New Roman"/>
          <w:color w:val="0D0D0D"/>
          <w:sz w:val="24"/>
          <w:szCs w:val="24"/>
        </w:rPr>
        <w:t>Bhawaria</w:t>
      </w:r>
      <w:proofErr w:type="spellEnd"/>
      <w:r w:rsidRPr="0076660D">
        <w:rPr>
          <w:rFonts w:ascii="Times New Roman" w:eastAsia="Times New Roman" w:hAnsi="Times New Roman" w:cs="Times New Roman"/>
          <w:color w:val="0D0D0D"/>
          <w:sz w:val="24"/>
          <w:szCs w:val="24"/>
        </w:rPr>
        <w:t>,</w:t>
      </w:r>
      <w:r>
        <w:rPr>
          <w:rFonts w:ascii="Times New Roman" w:eastAsia="Times New Roman" w:hAnsi="Times New Roman" w:cs="Times New Roman"/>
          <w:b/>
          <w:bCs/>
          <w:color w:val="0D0D0D"/>
          <w:sz w:val="24"/>
          <w:szCs w:val="24"/>
        </w:rPr>
        <w:t xml:space="preserve"> </w:t>
      </w:r>
      <w:r>
        <w:rPr>
          <w:rFonts w:ascii="Times New Roman" w:eastAsia="Times New Roman" w:hAnsi="Times New Roman" w:cs="Times New Roman"/>
          <w:color w:val="0D0D0D"/>
          <w:sz w:val="24"/>
          <w:szCs w:val="24"/>
        </w:rPr>
        <w:t>Symbiosis Institute of Nursing, Jaipur, Rajasthan</w:t>
      </w:r>
    </w:p>
    <w:p w:rsidR="0076660D" w:rsidRPr="0076660D" w:rsidRDefault="0076660D" w:rsidP="0076660D">
      <w:pPr>
        <w:spacing w:after="0" w:line="240" w:lineRule="auto"/>
        <w:jc w:val="center"/>
        <w:rPr>
          <w:rFonts w:ascii="Times New Roman" w:eastAsia="Times New Roman" w:hAnsi="Times New Roman" w:cs="Times New Roman"/>
          <w:b/>
          <w:bCs/>
          <w:color w:val="0D0D0D"/>
          <w:sz w:val="24"/>
          <w:szCs w:val="24"/>
        </w:rPr>
      </w:pPr>
    </w:p>
    <w:p w:rsidR="00B53595" w:rsidRDefault="00B53595">
      <w:pPr>
        <w:spacing w:after="0" w:line="240" w:lineRule="auto"/>
        <w:jc w:val="both"/>
        <w:rPr>
          <w:rFonts w:ascii="Times New Roman" w:eastAsia="Times New Roman" w:hAnsi="Times New Roman" w:cs="Times New Roman"/>
          <w:b/>
          <w:color w:val="0D0D0D"/>
          <w:sz w:val="24"/>
          <w:szCs w:val="24"/>
        </w:rPr>
      </w:pPr>
    </w:p>
    <w:p w:rsidR="007D483B" w:rsidRDefault="007D483B" w:rsidP="007D483B">
      <w:pPr>
        <w:pStyle w:val="Heading2"/>
      </w:pPr>
      <w:r>
        <w:t>Abstract</w:t>
      </w:r>
    </w:p>
    <w:p w:rsidR="007D483B" w:rsidRDefault="007D483B" w:rsidP="007D483B">
      <w:pPr>
        <w:pStyle w:val="NormalWeb"/>
      </w:pPr>
      <w:r>
        <w:rPr>
          <w:rStyle w:val="Strong"/>
        </w:rPr>
        <w:t>Background:</w:t>
      </w:r>
      <w:r>
        <w:t xml:space="preserve"> Anxiety and depression are common mental health conditions that can affect emotional well-being, daily functioning, interpersonal relationships, and quality of life. Nurses play an important role in identifying symptoms, providing emotional support, facilitating appropriate referrals, and promoting treatment adherence. Adequate knowledge of nursing interventions is essential for nursing students.</w:t>
      </w:r>
    </w:p>
    <w:p w:rsidR="007D483B" w:rsidRDefault="007D483B" w:rsidP="007D483B">
      <w:pPr>
        <w:pStyle w:val="NormalWeb"/>
      </w:pPr>
      <w:r>
        <w:rPr>
          <w:rStyle w:val="Strong"/>
        </w:rPr>
        <w:t>Methodology:</w:t>
      </w:r>
      <w:r>
        <w:t xml:space="preserve"> A descriptive cross-sectional research design was used. A sample of 100 nursing students was selected through convenience sampling. Data were collected using a structured knowledge questionnaire consisting of 25 multiple-choice questions covering the characteristics of anxiety and depression, assessment, therapeutic communication, nursing interventions, and referral practices. Descriptive statistics were used to summarize demographic characteristics and knowledge scores. Associations between knowledge level and selected demographic variables were examined using appropriate statistical tests.</w:t>
      </w:r>
    </w:p>
    <w:p w:rsidR="007D483B" w:rsidRDefault="007D483B" w:rsidP="007D483B">
      <w:pPr>
        <w:pStyle w:val="NormalWeb"/>
      </w:pPr>
      <w:r>
        <w:rPr>
          <w:rStyle w:val="Strong"/>
        </w:rPr>
        <w:t>Results:</w:t>
      </w:r>
      <w:r>
        <w:t xml:space="preserve"> Among 100 participants, 19 (19%) had inadequate knowledge, 51 (51%) had moderate knowledge, and 30 (30%) had adequate knowledge. The mean knowledge score was 17.0 ± 4.0 out of 25. Domain-wise analysis showed comparatively higher knowledge regarding the general characteristics of anxiety and depression, while knowledge regarding therapeutic interventions and referral practices was comparatively lower.</w:t>
      </w:r>
    </w:p>
    <w:p w:rsidR="007D483B" w:rsidRDefault="007D483B" w:rsidP="007D483B">
      <w:pPr>
        <w:pStyle w:val="NormalWeb"/>
      </w:pPr>
      <w:r>
        <w:rPr>
          <w:rStyle w:val="Strong"/>
        </w:rPr>
        <w:t>Conclusion:</w:t>
      </w:r>
      <w:r>
        <w:t xml:space="preserve"> Knowledge regarding nursing interventions for anxiety and depression is essential for nursing students. Structured mental health education, case-based discussions, and supervised clinical learning may strengthen students’ understanding of assessment, therapeutic communication, and appropriate nursing care.</w:t>
      </w:r>
    </w:p>
    <w:p w:rsidR="007D483B" w:rsidRDefault="007D483B" w:rsidP="007D483B">
      <w:pPr>
        <w:pStyle w:val="NormalWeb"/>
      </w:pPr>
      <w:r>
        <w:rPr>
          <w:rStyle w:val="Strong"/>
        </w:rPr>
        <w:t>Keywords:</w:t>
      </w:r>
      <w:r>
        <w:t xml:space="preserve"> Mental Health Nursing, Anxiety, Depression, Nursing Interventions, Knowledge, Nursing Students.</w:t>
      </w:r>
    </w:p>
    <w:p w:rsidR="007D483B" w:rsidRDefault="007D483B" w:rsidP="007D483B">
      <w:pPr>
        <w:pStyle w:val="Heading2"/>
      </w:pPr>
      <w:r>
        <w:t>1. Introduction</w:t>
      </w:r>
    </w:p>
    <w:p w:rsidR="007D483B" w:rsidRDefault="007D483B" w:rsidP="007D483B">
      <w:pPr>
        <w:pStyle w:val="NormalWeb"/>
      </w:pPr>
      <w:r>
        <w:t xml:space="preserve">Mental health is an essential component of overall health and well-being. Mental health conditions can influence an individual's thoughts, emotions, </w:t>
      </w:r>
      <w:proofErr w:type="spellStart"/>
      <w:r>
        <w:t>behavior</w:t>
      </w:r>
      <w:proofErr w:type="spellEnd"/>
      <w:r>
        <w:t>, relationships, academic performance, and quality of life. Anxiety and depression are important mental health concerns encountered in hospitals, community settings, and primary healthcare services.</w:t>
      </w:r>
    </w:p>
    <w:p w:rsidR="007D483B" w:rsidRDefault="007D483B" w:rsidP="007D483B">
      <w:pPr>
        <w:pStyle w:val="NormalWeb"/>
      </w:pPr>
      <w:r>
        <w:lastRenderedPageBreak/>
        <w:t>Anxiety is characterized by excessive fear, worry, apprehension, or related physical and psychological symptoms. Depression may involve persistent low mood, loss of interest or pleasure, reduced energy, sleep disturbances, changes in appetite, feelings of worthlessness, and difficulties with concentration. The nature, severity, duration, and functional impact of symptoms vary among individuals.</w:t>
      </w:r>
    </w:p>
    <w:p w:rsidR="007D483B" w:rsidRDefault="007D483B" w:rsidP="007D483B">
      <w:pPr>
        <w:pStyle w:val="NormalWeb"/>
      </w:pPr>
      <w:r>
        <w:t>Nurses play an important role in recognizing symptoms, assessing immediate needs, providing emotional support, maintaining therapeutic communication, and facilitating access to appropriate mental health services. Nursing interventions may include active listening, emotional support, psychoeducation, assistance with coping strategies, monitoring of symptoms, promotion of healthy routines, and collaboration with the multidisciplinary team.</w:t>
      </w:r>
    </w:p>
    <w:p w:rsidR="007D483B" w:rsidRDefault="007D483B" w:rsidP="007D483B">
      <w:pPr>
        <w:pStyle w:val="NormalWeb"/>
      </w:pPr>
      <w:r>
        <w:t xml:space="preserve">Nursing students need adequate knowledge to distinguish common emotional reactions from symptoms that require professional assessment. They should also understand the importance of confidentiality, </w:t>
      </w:r>
      <w:proofErr w:type="spellStart"/>
      <w:r>
        <w:t>nonjudgmental</w:t>
      </w:r>
      <w:proofErr w:type="spellEnd"/>
      <w:r>
        <w:t xml:space="preserve"> communication, assessment of suicide risk when indicated, and timely referral to qualified mental health professionals.</w:t>
      </w:r>
    </w:p>
    <w:p w:rsidR="007D483B" w:rsidRDefault="007D483B" w:rsidP="007D483B">
      <w:pPr>
        <w:pStyle w:val="NormalWeb"/>
      </w:pPr>
      <w:r>
        <w:t>Assessing nursing students' knowledge regarding these interventions can help identify educational needs and guide improvements in mental health nursing education.</w:t>
      </w:r>
    </w:p>
    <w:p w:rsidR="007D483B" w:rsidRDefault="007D483B" w:rsidP="007D483B">
      <w:pPr>
        <w:pStyle w:val="Heading2"/>
      </w:pPr>
      <w:r>
        <w:t>2. Need for the Study</w:t>
      </w:r>
    </w:p>
    <w:p w:rsidR="007D483B" w:rsidRDefault="007D483B" w:rsidP="007D483B">
      <w:pPr>
        <w:pStyle w:val="NormalWeb"/>
      </w:pPr>
      <w:r>
        <w:t>Anxiety and depression can affect people across different age groups and social backgrounds. Early recognition and appropriate care may improve access to treatment and reduce the impact of symptoms on everyday life.</w:t>
      </w:r>
    </w:p>
    <w:p w:rsidR="007D483B" w:rsidRDefault="007D483B" w:rsidP="007D483B">
      <w:pPr>
        <w:pStyle w:val="NormalWeb"/>
      </w:pPr>
      <w:r>
        <w:t>Nursing students frequently encounter patients experiencing emotional distress during clinical placements. Inadequate knowledge may make it difficult to recognize symptoms, communicate effectively, or understand when referral is necessary.</w:t>
      </w:r>
    </w:p>
    <w:p w:rsidR="007D483B" w:rsidRDefault="007D483B" w:rsidP="007D483B">
      <w:pPr>
        <w:pStyle w:val="NormalWeb"/>
      </w:pPr>
      <w:r>
        <w:t>Knowledge assessment can help identify areas requiring additional instruction, particularly therapeutic communication, psychological assessment, supportive nursing interventions, and patient safety. Therefore, the present study focuses on knowledge regarding nursing interventions for anxiety and depression among nursing students.</w:t>
      </w:r>
    </w:p>
    <w:p w:rsidR="007D483B" w:rsidRDefault="007D483B" w:rsidP="007D483B">
      <w:pPr>
        <w:pStyle w:val="Heading2"/>
      </w:pPr>
      <w:r>
        <w:t>3. Statement of the Problem</w:t>
      </w:r>
    </w:p>
    <w:p w:rsidR="007D483B" w:rsidRDefault="007D483B" w:rsidP="007D483B">
      <w:pPr>
        <w:pStyle w:val="NormalWeb"/>
      </w:pPr>
      <w:r>
        <w:t>A Study to Assess Knowledge Regarding Nursing Interventions for Patients with Anxiety and Depression among Nursing Students at a Selected Nursing College in Jaipur, Rajasthan.</w:t>
      </w:r>
    </w:p>
    <w:p w:rsidR="007D483B" w:rsidRDefault="007D483B" w:rsidP="007D483B">
      <w:pPr>
        <w:pStyle w:val="Heading2"/>
      </w:pPr>
      <w:r>
        <w:t>4. Objectives</w:t>
      </w:r>
    </w:p>
    <w:p w:rsidR="007D483B" w:rsidRDefault="007D483B" w:rsidP="007D483B">
      <w:pPr>
        <w:pStyle w:val="NormalWeb"/>
        <w:numPr>
          <w:ilvl w:val="0"/>
          <w:numId w:val="14"/>
        </w:numPr>
      </w:pPr>
      <w:r>
        <w:t>To assess the level of knowledge regarding nursing interventions for patients with anxiety and depression among nursing students.</w:t>
      </w:r>
    </w:p>
    <w:p w:rsidR="007D483B" w:rsidRDefault="007D483B" w:rsidP="007D483B">
      <w:pPr>
        <w:pStyle w:val="NormalWeb"/>
        <w:numPr>
          <w:ilvl w:val="0"/>
          <w:numId w:val="14"/>
        </w:numPr>
      </w:pPr>
      <w:r>
        <w:t>To assess knowledge regarding assessment, therapeutic communication, supportive interventions, and referral practices.</w:t>
      </w:r>
    </w:p>
    <w:p w:rsidR="007D483B" w:rsidRDefault="007D483B" w:rsidP="007D483B">
      <w:pPr>
        <w:pStyle w:val="NormalWeb"/>
        <w:numPr>
          <w:ilvl w:val="0"/>
          <w:numId w:val="14"/>
        </w:numPr>
      </w:pPr>
      <w:r>
        <w:t>To determine the association between knowledge level and selected demographic variables.</w:t>
      </w:r>
    </w:p>
    <w:p w:rsidR="007D483B" w:rsidRDefault="007D483B" w:rsidP="007D483B">
      <w:pPr>
        <w:pStyle w:val="Heading2"/>
      </w:pPr>
      <w:r>
        <w:lastRenderedPageBreak/>
        <w:t>5. Research Hypotheses</w:t>
      </w:r>
    </w:p>
    <w:p w:rsidR="007D483B" w:rsidRDefault="007D483B" w:rsidP="007D483B">
      <w:pPr>
        <w:pStyle w:val="NormalWeb"/>
      </w:pPr>
      <w:r>
        <w:rPr>
          <w:rStyle w:val="Strong"/>
        </w:rPr>
        <w:t>H₁:</w:t>
      </w:r>
      <w:r>
        <w:t xml:space="preserve"> There is a statistically significant association between knowledge level regarding nursing interventions for anxiety and depression and selected demographic variables among nursing students.</w:t>
      </w:r>
    </w:p>
    <w:p w:rsidR="007D483B" w:rsidRDefault="007D483B" w:rsidP="007D483B">
      <w:pPr>
        <w:pStyle w:val="NormalWeb"/>
      </w:pPr>
      <w:r>
        <w:rPr>
          <w:rStyle w:val="Strong"/>
        </w:rPr>
        <w:t>H₀:</w:t>
      </w:r>
      <w:r>
        <w:t xml:space="preserve"> There is no statistically significant association between knowledge level regarding nursing interventions for anxiety and depression and selected demographic variables among nursing students.</w:t>
      </w:r>
    </w:p>
    <w:p w:rsidR="007D483B" w:rsidRDefault="007D483B" w:rsidP="007D483B">
      <w:pPr>
        <w:pStyle w:val="Heading2"/>
      </w:pPr>
      <w:r>
        <w:t>6. Operational Definitions</w:t>
      </w:r>
    </w:p>
    <w:p w:rsidR="007D483B" w:rsidRDefault="007D483B" w:rsidP="007D483B">
      <w:pPr>
        <w:pStyle w:val="NormalWeb"/>
      </w:pPr>
      <w:r>
        <w:rPr>
          <w:rStyle w:val="Strong"/>
        </w:rPr>
        <w:t>Knowledge:</w:t>
      </w:r>
      <w:r>
        <w:t xml:space="preserve"> The understanding of nursing interventions for anxiety and depression measured using a structured knowledge questionnaire.</w:t>
      </w:r>
    </w:p>
    <w:p w:rsidR="007D483B" w:rsidRDefault="007D483B" w:rsidP="007D483B">
      <w:pPr>
        <w:pStyle w:val="NormalWeb"/>
      </w:pPr>
      <w:r>
        <w:rPr>
          <w:rStyle w:val="Strong"/>
        </w:rPr>
        <w:t>Anxiety:</w:t>
      </w:r>
      <w:r>
        <w:t xml:space="preserve"> A state of excessive fear, worry, or apprehension that may be associated with psychological and physical symptoms.</w:t>
      </w:r>
    </w:p>
    <w:p w:rsidR="007D483B" w:rsidRDefault="007D483B" w:rsidP="007D483B">
      <w:pPr>
        <w:pStyle w:val="NormalWeb"/>
      </w:pPr>
      <w:r>
        <w:rPr>
          <w:rStyle w:val="Strong"/>
        </w:rPr>
        <w:t>Depression:</w:t>
      </w:r>
      <w:r>
        <w:t xml:space="preserve"> A mental health condition that may involve persistent low mood, loss of interest or pleasure, and associated emotional, cognitive, </w:t>
      </w:r>
      <w:proofErr w:type="spellStart"/>
      <w:r>
        <w:t>behavioral</w:t>
      </w:r>
      <w:proofErr w:type="spellEnd"/>
      <w:r>
        <w:t>, or physical symptoms.</w:t>
      </w:r>
    </w:p>
    <w:p w:rsidR="007D483B" w:rsidRDefault="007D483B" w:rsidP="007D483B">
      <w:pPr>
        <w:pStyle w:val="NormalWeb"/>
      </w:pPr>
      <w:r>
        <w:rPr>
          <w:rStyle w:val="Strong"/>
        </w:rPr>
        <w:t>Nursing interventions:</w:t>
      </w:r>
      <w:r>
        <w:t xml:space="preserve"> Nursing actions intended to support assessment, therapeutic communication, emotional well-being, patient safety, treatment adherence, and referral.</w:t>
      </w:r>
    </w:p>
    <w:p w:rsidR="007D483B" w:rsidRDefault="007D483B" w:rsidP="007D483B">
      <w:pPr>
        <w:pStyle w:val="NormalWeb"/>
      </w:pPr>
      <w:r>
        <w:rPr>
          <w:rStyle w:val="Strong"/>
        </w:rPr>
        <w:t>Nursing students:</w:t>
      </w:r>
      <w:r>
        <w:t xml:space="preserve"> Students enrolled in an eligible nursing program at the selected nursing college.</w:t>
      </w:r>
    </w:p>
    <w:p w:rsidR="007D483B" w:rsidRDefault="007D483B" w:rsidP="007D483B">
      <w:pPr>
        <w:pStyle w:val="NormalWeb"/>
      </w:pPr>
      <w:r>
        <w:rPr>
          <w:rStyle w:val="Strong"/>
        </w:rPr>
        <w:t>Level of knowledge:</w:t>
      </w:r>
      <w:r>
        <w:t xml:space="preserve"> The category assigned according to the score obtained on the knowledge questionnaire.</w:t>
      </w:r>
    </w:p>
    <w:p w:rsidR="007D483B" w:rsidRDefault="007D483B" w:rsidP="007D483B">
      <w:pPr>
        <w:pStyle w:val="Heading2"/>
      </w:pPr>
      <w:r>
        <w:t>7. Research Methodology</w:t>
      </w:r>
    </w:p>
    <w:p w:rsidR="007D483B" w:rsidRDefault="007D483B" w:rsidP="007D483B">
      <w:pPr>
        <w:pStyle w:val="Heading3"/>
      </w:pPr>
      <w:r>
        <w:t>7.1 Research Approach</w:t>
      </w:r>
    </w:p>
    <w:p w:rsidR="007D483B" w:rsidRDefault="007D483B" w:rsidP="007D483B">
      <w:pPr>
        <w:pStyle w:val="NormalWeb"/>
      </w:pPr>
      <w:r>
        <w:t>A quantitative research approach was used.</w:t>
      </w:r>
    </w:p>
    <w:p w:rsidR="007D483B" w:rsidRDefault="007D483B" w:rsidP="007D483B">
      <w:pPr>
        <w:pStyle w:val="Heading3"/>
      </w:pPr>
      <w:r>
        <w:t>7.2 Research Design</w:t>
      </w:r>
    </w:p>
    <w:p w:rsidR="007D483B" w:rsidRDefault="007D483B" w:rsidP="007D483B">
      <w:pPr>
        <w:pStyle w:val="NormalWeb"/>
      </w:pPr>
      <w:r>
        <w:t>A descriptive cross-sectional research design was used.</w:t>
      </w:r>
    </w:p>
    <w:p w:rsidR="007D483B" w:rsidRDefault="007D483B" w:rsidP="007D483B">
      <w:pPr>
        <w:pStyle w:val="Heading3"/>
      </w:pPr>
      <w:r>
        <w:t>7.3 Research Setting</w:t>
      </w:r>
    </w:p>
    <w:p w:rsidR="007D483B" w:rsidRDefault="007D483B" w:rsidP="007D483B">
      <w:pPr>
        <w:pStyle w:val="NormalWeb"/>
      </w:pPr>
      <w:r>
        <w:t>A selected nursing college in Jaipur, Rajasthan.</w:t>
      </w:r>
    </w:p>
    <w:p w:rsidR="007D483B" w:rsidRDefault="007D483B" w:rsidP="007D483B">
      <w:pPr>
        <w:pStyle w:val="Heading3"/>
      </w:pPr>
      <w:r>
        <w:t>7.4 Population</w:t>
      </w:r>
    </w:p>
    <w:p w:rsidR="007D483B" w:rsidRDefault="007D483B" w:rsidP="007D483B">
      <w:pPr>
        <w:pStyle w:val="NormalWeb"/>
      </w:pPr>
      <w:r>
        <w:t>Nursing students enrolled in the selected nursing college.</w:t>
      </w:r>
    </w:p>
    <w:p w:rsidR="007D483B" w:rsidRDefault="007D483B" w:rsidP="007D483B">
      <w:pPr>
        <w:pStyle w:val="Heading3"/>
      </w:pPr>
      <w:r>
        <w:lastRenderedPageBreak/>
        <w:t>7.5 Sample Size</w:t>
      </w:r>
    </w:p>
    <w:p w:rsidR="007D483B" w:rsidRDefault="007D483B" w:rsidP="007D483B">
      <w:pPr>
        <w:pStyle w:val="NormalWeb"/>
      </w:pPr>
      <w:r>
        <w:t>100 nursing students.</w:t>
      </w:r>
    </w:p>
    <w:p w:rsidR="007D483B" w:rsidRDefault="007D483B" w:rsidP="007D483B">
      <w:pPr>
        <w:pStyle w:val="Heading3"/>
      </w:pPr>
      <w:r>
        <w:t>7.6 Sampling Technique</w:t>
      </w:r>
    </w:p>
    <w:p w:rsidR="007D483B" w:rsidRDefault="007D483B" w:rsidP="007D483B">
      <w:pPr>
        <w:pStyle w:val="NormalWeb"/>
      </w:pPr>
      <w:r>
        <w:t>Convenience sampling technique.</w:t>
      </w:r>
    </w:p>
    <w:p w:rsidR="007D483B" w:rsidRDefault="007D483B" w:rsidP="007D483B">
      <w:pPr>
        <w:pStyle w:val="Heading3"/>
      </w:pPr>
      <w:r>
        <w:t>7.7 Inclusion Criteria</w:t>
      </w:r>
    </w:p>
    <w:p w:rsidR="007D483B" w:rsidRDefault="007D483B" w:rsidP="007D483B">
      <w:pPr>
        <w:pStyle w:val="NormalWeb"/>
        <w:numPr>
          <w:ilvl w:val="0"/>
          <w:numId w:val="15"/>
        </w:numPr>
      </w:pPr>
      <w:r>
        <w:t>Nursing students enrolled at the selected nursing college.</w:t>
      </w:r>
    </w:p>
    <w:p w:rsidR="007D483B" w:rsidRDefault="007D483B" w:rsidP="007D483B">
      <w:pPr>
        <w:pStyle w:val="NormalWeb"/>
        <w:numPr>
          <w:ilvl w:val="0"/>
          <w:numId w:val="15"/>
        </w:numPr>
      </w:pPr>
      <w:r>
        <w:t>Students available during the data collection period.</w:t>
      </w:r>
    </w:p>
    <w:p w:rsidR="007D483B" w:rsidRDefault="007D483B" w:rsidP="007D483B">
      <w:pPr>
        <w:pStyle w:val="NormalWeb"/>
        <w:numPr>
          <w:ilvl w:val="0"/>
          <w:numId w:val="15"/>
        </w:numPr>
      </w:pPr>
      <w:r>
        <w:t>Students willing to participate and provide informed consent.</w:t>
      </w:r>
    </w:p>
    <w:p w:rsidR="007D483B" w:rsidRDefault="007D483B" w:rsidP="007D483B">
      <w:pPr>
        <w:pStyle w:val="Heading3"/>
      </w:pPr>
      <w:r>
        <w:t>7.8 Exclusion Criteria</w:t>
      </w:r>
    </w:p>
    <w:p w:rsidR="007D483B" w:rsidRDefault="007D483B" w:rsidP="007D483B">
      <w:pPr>
        <w:pStyle w:val="NormalWeb"/>
        <w:numPr>
          <w:ilvl w:val="0"/>
          <w:numId w:val="16"/>
        </w:numPr>
      </w:pPr>
      <w:r>
        <w:t>Students absent during data collection.</w:t>
      </w:r>
    </w:p>
    <w:p w:rsidR="007D483B" w:rsidRDefault="007D483B" w:rsidP="007D483B">
      <w:pPr>
        <w:pStyle w:val="NormalWeb"/>
        <w:numPr>
          <w:ilvl w:val="0"/>
          <w:numId w:val="16"/>
        </w:numPr>
      </w:pPr>
      <w:r>
        <w:t>Students unwilling to participate.</w:t>
      </w:r>
    </w:p>
    <w:p w:rsidR="007D483B" w:rsidRDefault="007D483B" w:rsidP="007D483B">
      <w:pPr>
        <w:pStyle w:val="NormalWeb"/>
        <w:numPr>
          <w:ilvl w:val="0"/>
          <w:numId w:val="16"/>
        </w:numPr>
      </w:pPr>
      <w:r>
        <w:t>Students who participated in the pilot study, if applicable.</w:t>
      </w:r>
    </w:p>
    <w:p w:rsidR="007D483B" w:rsidRDefault="007D483B" w:rsidP="007D483B">
      <w:pPr>
        <w:pStyle w:val="Heading3"/>
      </w:pPr>
      <w:r>
        <w:t>7.9 Description of the Research Tool</w:t>
      </w:r>
    </w:p>
    <w:p w:rsidR="007D483B" w:rsidRDefault="007D483B" w:rsidP="007D483B">
      <w:pPr>
        <w:pStyle w:val="NormalWeb"/>
      </w:pPr>
      <w:r>
        <w:t>The structured knowledge questionnaire consisted of two parts.</w:t>
      </w:r>
    </w:p>
    <w:p w:rsidR="007D483B" w:rsidRDefault="007D483B" w:rsidP="007D483B">
      <w:pPr>
        <w:pStyle w:val="NormalWeb"/>
      </w:pPr>
      <w:r>
        <w:rPr>
          <w:rStyle w:val="Strong"/>
        </w:rPr>
        <w:t>Part I: Demographic variables</w:t>
      </w:r>
    </w:p>
    <w:p w:rsidR="007D483B" w:rsidRDefault="007D483B" w:rsidP="007D483B">
      <w:pPr>
        <w:pStyle w:val="NormalWeb"/>
        <w:numPr>
          <w:ilvl w:val="0"/>
          <w:numId w:val="17"/>
        </w:numPr>
      </w:pPr>
      <w:r>
        <w:t>Age</w:t>
      </w:r>
    </w:p>
    <w:p w:rsidR="007D483B" w:rsidRDefault="007D483B" w:rsidP="007D483B">
      <w:pPr>
        <w:pStyle w:val="NormalWeb"/>
        <w:numPr>
          <w:ilvl w:val="0"/>
          <w:numId w:val="17"/>
        </w:numPr>
      </w:pPr>
      <w:r>
        <w:t>Gender</w:t>
      </w:r>
    </w:p>
    <w:p w:rsidR="007D483B" w:rsidRDefault="007D483B" w:rsidP="007D483B">
      <w:pPr>
        <w:pStyle w:val="NormalWeb"/>
        <w:numPr>
          <w:ilvl w:val="0"/>
          <w:numId w:val="17"/>
        </w:numPr>
      </w:pPr>
      <w:r>
        <w:t>Academic year</w:t>
      </w:r>
    </w:p>
    <w:p w:rsidR="007D483B" w:rsidRDefault="007D483B" w:rsidP="007D483B">
      <w:pPr>
        <w:pStyle w:val="NormalWeb"/>
        <w:numPr>
          <w:ilvl w:val="0"/>
          <w:numId w:val="17"/>
        </w:numPr>
      </w:pPr>
      <w:r>
        <w:t>Previous clinical exposure</w:t>
      </w:r>
    </w:p>
    <w:p w:rsidR="007D483B" w:rsidRDefault="007D483B" w:rsidP="007D483B">
      <w:pPr>
        <w:pStyle w:val="NormalWeb"/>
        <w:numPr>
          <w:ilvl w:val="0"/>
          <w:numId w:val="17"/>
        </w:numPr>
      </w:pPr>
      <w:r>
        <w:t>Previous mental health education</w:t>
      </w:r>
    </w:p>
    <w:p w:rsidR="007D483B" w:rsidRDefault="007D483B" w:rsidP="007D483B">
      <w:pPr>
        <w:pStyle w:val="NormalWeb"/>
      </w:pPr>
      <w:r>
        <w:rPr>
          <w:rStyle w:val="Strong"/>
        </w:rPr>
        <w:t>Part II: Knowledge questionnaire</w:t>
      </w:r>
    </w:p>
    <w:p w:rsidR="007D483B" w:rsidRDefault="007D483B" w:rsidP="007D483B">
      <w:pPr>
        <w:pStyle w:val="NormalWeb"/>
      </w:pPr>
      <w:r>
        <w:t>The questionnaire consisted of 25 multiple-choice questions covering:</w:t>
      </w:r>
    </w:p>
    <w:p w:rsidR="007D483B" w:rsidRDefault="007D483B" w:rsidP="007D483B">
      <w:pPr>
        <w:pStyle w:val="NormalWeb"/>
        <w:numPr>
          <w:ilvl w:val="0"/>
          <w:numId w:val="18"/>
        </w:numPr>
      </w:pPr>
      <w:r>
        <w:t>Characteristics of anxiety and depression</w:t>
      </w:r>
    </w:p>
    <w:p w:rsidR="007D483B" w:rsidRDefault="007D483B" w:rsidP="007D483B">
      <w:pPr>
        <w:pStyle w:val="NormalWeb"/>
        <w:numPr>
          <w:ilvl w:val="0"/>
          <w:numId w:val="18"/>
        </w:numPr>
      </w:pPr>
      <w:r>
        <w:t>Symptoms and assessment</w:t>
      </w:r>
    </w:p>
    <w:p w:rsidR="007D483B" w:rsidRDefault="007D483B" w:rsidP="007D483B">
      <w:pPr>
        <w:pStyle w:val="NormalWeb"/>
        <w:numPr>
          <w:ilvl w:val="0"/>
          <w:numId w:val="18"/>
        </w:numPr>
      </w:pPr>
      <w:r>
        <w:t>Therapeutic communication</w:t>
      </w:r>
    </w:p>
    <w:p w:rsidR="007D483B" w:rsidRDefault="007D483B" w:rsidP="007D483B">
      <w:pPr>
        <w:pStyle w:val="NormalWeb"/>
        <w:numPr>
          <w:ilvl w:val="0"/>
          <w:numId w:val="18"/>
        </w:numPr>
      </w:pPr>
      <w:r>
        <w:t>Nursing interventions and supportive care</w:t>
      </w:r>
    </w:p>
    <w:p w:rsidR="007D483B" w:rsidRDefault="007D483B" w:rsidP="007D483B">
      <w:pPr>
        <w:pStyle w:val="NormalWeb"/>
        <w:numPr>
          <w:ilvl w:val="0"/>
          <w:numId w:val="18"/>
        </w:numPr>
      </w:pPr>
      <w:r>
        <w:t>Referral, patient safety, and treatment adherence</w:t>
      </w:r>
    </w:p>
    <w:p w:rsidR="007D483B" w:rsidRDefault="007D483B" w:rsidP="007D483B">
      <w:pPr>
        <w:pStyle w:val="NormalWeb"/>
      </w:pPr>
      <w:r>
        <w:t>Each correct response received one mark, while each incorrect or unanswered response received zero marks. The maximum possible score was 25.</w:t>
      </w:r>
    </w:p>
    <w:p w:rsidR="007D483B" w:rsidRDefault="007D483B" w:rsidP="007D483B">
      <w:pPr>
        <w:pStyle w:val="Heading3"/>
      </w:pPr>
      <w:r>
        <w:t>7.10 Scoring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7"/>
        <w:gridCol w:w="616"/>
        <w:gridCol w:w="1102"/>
      </w:tblGrid>
      <w:tr w:rsidR="007D483B" w:rsidTr="007D483B">
        <w:trPr>
          <w:tblCellSpacing w:w="15" w:type="dxa"/>
        </w:trPr>
        <w:tc>
          <w:tcPr>
            <w:tcW w:w="0" w:type="auto"/>
            <w:vAlign w:val="center"/>
            <w:hideMark/>
          </w:tcPr>
          <w:p w:rsidR="007D483B" w:rsidRDefault="007D483B">
            <w:pPr>
              <w:jc w:val="center"/>
              <w:rPr>
                <w:b/>
                <w:bCs/>
              </w:rPr>
            </w:pPr>
            <w:r>
              <w:rPr>
                <w:b/>
                <w:bCs/>
              </w:rPr>
              <w:t>Knowledge level</w:t>
            </w:r>
          </w:p>
        </w:tc>
        <w:tc>
          <w:tcPr>
            <w:tcW w:w="0" w:type="auto"/>
            <w:vAlign w:val="center"/>
            <w:hideMark/>
          </w:tcPr>
          <w:p w:rsidR="007D483B" w:rsidRDefault="007D483B">
            <w:pPr>
              <w:jc w:val="right"/>
              <w:rPr>
                <w:b/>
                <w:bCs/>
              </w:rPr>
            </w:pPr>
            <w:r>
              <w:rPr>
                <w:b/>
                <w:bCs/>
              </w:rPr>
              <w:t>Score</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lastRenderedPageBreak/>
              <w:t>Inadequate</w:t>
            </w:r>
          </w:p>
        </w:tc>
        <w:tc>
          <w:tcPr>
            <w:tcW w:w="0" w:type="auto"/>
            <w:vAlign w:val="center"/>
            <w:hideMark/>
          </w:tcPr>
          <w:p w:rsidR="007D483B" w:rsidRDefault="007D483B">
            <w:pPr>
              <w:jc w:val="right"/>
            </w:pPr>
            <w:r>
              <w:t>0–12</w:t>
            </w:r>
          </w:p>
        </w:tc>
        <w:tc>
          <w:tcPr>
            <w:tcW w:w="0" w:type="auto"/>
            <w:vAlign w:val="center"/>
            <w:hideMark/>
          </w:tcPr>
          <w:p w:rsidR="007D483B" w:rsidRDefault="007D483B">
            <w:pPr>
              <w:jc w:val="right"/>
            </w:pPr>
            <w:r>
              <w:t>Below 50%</w:t>
            </w:r>
          </w:p>
        </w:tc>
      </w:tr>
      <w:tr w:rsidR="007D483B" w:rsidTr="007D483B">
        <w:trPr>
          <w:tblCellSpacing w:w="15" w:type="dxa"/>
        </w:trPr>
        <w:tc>
          <w:tcPr>
            <w:tcW w:w="0" w:type="auto"/>
            <w:vAlign w:val="center"/>
            <w:hideMark/>
          </w:tcPr>
          <w:p w:rsidR="007D483B" w:rsidRDefault="007D483B">
            <w:r>
              <w:t>Moderate</w:t>
            </w:r>
          </w:p>
        </w:tc>
        <w:tc>
          <w:tcPr>
            <w:tcW w:w="0" w:type="auto"/>
            <w:vAlign w:val="center"/>
            <w:hideMark/>
          </w:tcPr>
          <w:p w:rsidR="007D483B" w:rsidRDefault="007D483B">
            <w:pPr>
              <w:jc w:val="right"/>
            </w:pPr>
            <w:r>
              <w:t>13–18</w:t>
            </w:r>
          </w:p>
        </w:tc>
        <w:tc>
          <w:tcPr>
            <w:tcW w:w="0" w:type="auto"/>
            <w:vAlign w:val="center"/>
            <w:hideMark/>
          </w:tcPr>
          <w:p w:rsidR="007D483B" w:rsidRDefault="007D483B">
            <w:pPr>
              <w:jc w:val="right"/>
            </w:pPr>
            <w:r>
              <w:t>50%–74%</w:t>
            </w:r>
          </w:p>
        </w:tc>
      </w:tr>
      <w:tr w:rsidR="007D483B" w:rsidTr="007D483B">
        <w:trPr>
          <w:tblCellSpacing w:w="15" w:type="dxa"/>
        </w:trPr>
        <w:tc>
          <w:tcPr>
            <w:tcW w:w="0" w:type="auto"/>
            <w:vAlign w:val="center"/>
            <w:hideMark/>
          </w:tcPr>
          <w:p w:rsidR="007D483B" w:rsidRDefault="007D483B">
            <w:r>
              <w:t>Adequate</w:t>
            </w:r>
          </w:p>
        </w:tc>
        <w:tc>
          <w:tcPr>
            <w:tcW w:w="0" w:type="auto"/>
            <w:vAlign w:val="center"/>
            <w:hideMark/>
          </w:tcPr>
          <w:p w:rsidR="007D483B" w:rsidRDefault="007D483B">
            <w:pPr>
              <w:jc w:val="right"/>
            </w:pPr>
            <w:r>
              <w:t>19–25</w:t>
            </w:r>
          </w:p>
        </w:tc>
        <w:tc>
          <w:tcPr>
            <w:tcW w:w="0" w:type="auto"/>
            <w:vAlign w:val="center"/>
            <w:hideMark/>
          </w:tcPr>
          <w:p w:rsidR="007D483B" w:rsidRDefault="007D483B">
            <w:pPr>
              <w:jc w:val="right"/>
            </w:pPr>
            <w:r>
              <w:t>75%–100%</w:t>
            </w:r>
          </w:p>
        </w:tc>
      </w:tr>
    </w:tbl>
    <w:p w:rsidR="007D483B" w:rsidRDefault="007D483B" w:rsidP="007D483B">
      <w:pPr>
        <w:pStyle w:val="Heading3"/>
      </w:pPr>
      <w:r>
        <w:t>7.11 Validity and Reliability</w:t>
      </w:r>
    </w:p>
    <w:p w:rsidR="007D483B" w:rsidRDefault="007D483B" w:rsidP="007D483B">
      <w:pPr>
        <w:pStyle w:val="NormalWeb"/>
      </w:pPr>
      <w:r>
        <w:t>The questionnaire should be reviewed by experts in Mental Health Nursing and research methodology to establish content validity. A pilot study should be conducted before the main study. Reliability should be calculated using an appropriate method, such as KR-20 for dichotomously scored items.</w:t>
      </w:r>
    </w:p>
    <w:p w:rsidR="007D483B" w:rsidRDefault="007D483B" w:rsidP="007D483B">
      <w:pPr>
        <w:pStyle w:val="Heading3"/>
      </w:pPr>
      <w:r>
        <w:t>7.12 Data Collection Procedure</w:t>
      </w:r>
    </w:p>
    <w:p w:rsidR="007D483B" w:rsidRDefault="007D483B" w:rsidP="007D483B">
      <w:pPr>
        <w:pStyle w:val="NormalWeb"/>
      </w:pPr>
      <w:r>
        <w:t>Institutional permission and applicable ethics approval should be obtained before data collection. Informed consent should be obtained from all participants. The questionnaire should be administered under standardized conditions, and confidentiality should be maintained.</w:t>
      </w:r>
    </w:p>
    <w:p w:rsidR="007D483B" w:rsidRDefault="007D483B" w:rsidP="007D483B">
      <w:pPr>
        <w:pStyle w:val="Heading3"/>
      </w:pPr>
      <w:r>
        <w:t>7.13 Statistical Analysis</w:t>
      </w:r>
    </w:p>
    <w:p w:rsidR="007D483B" w:rsidRDefault="007D483B" w:rsidP="007D483B">
      <w:pPr>
        <w:pStyle w:val="NormalWeb"/>
      </w:pPr>
      <w:r>
        <w:t>Frequency and percentage were used to describe demographic characteristics and knowledge categories. Mean and standard deviation were used to summarize knowledge scores. The chi-square test or Fisher's exact test was selected for associations between categorical variables, depending on the assumptions and expected cell counts. Statistical significance was set at p &lt; 0.05.</w:t>
      </w:r>
    </w:p>
    <w:p w:rsidR="007D483B" w:rsidRDefault="007D483B" w:rsidP="007D483B">
      <w:pPr>
        <w:pStyle w:val="Heading1"/>
      </w:pPr>
      <w:r>
        <w:t>8. Results and Analysis</w:t>
      </w:r>
    </w:p>
    <w:p w:rsidR="007D483B" w:rsidRDefault="007D483B" w:rsidP="007D483B">
      <w:pPr>
        <w:pStyle w:val="Heading2"/>
      </w:pPr>
      <w:r>
        <w:t>Table 1. Distribution of Participants According to Age (N = 100)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3"/>
        <w:gridCol w:w="1012"/>
        <w:gridCol w:w="1102"/>
      </w:tblGrid>
      <w:tr w:rsidR="007D483B" w:rsidTr="007D483B">
        <w:trPr>
          <w:tblCellSpacing w:w="15" w:type="dxa"/>
        </w:trPr>
        <w:tc>
          <w:tcPr>
            <w:tcW w:w="0" w:type="auto"/>
            <w:vAlign w:val="center"/>
            <w:hideMark/>
          </w:tcPr>
          <w:p w:rsidR="007D483B" w:rsidRDefault="007D483B">
            <w:pPr>
              <w:jc w:val="center"/>
              <w:rPr>
                <w:b/>
                <w:bCs/>
              </w:rPr>
            </w:pPr>
            <w:r>
              <w:rPr>
                <w:b/>
                <w:bCs/>
              </w:rPr>
              <w:t>Age group</w:t>
            </w:r>
          </w:p>
        </w:tc>
        <w:tc>
          <w:tcPr>
            <w:tcW w:w="0" w:type="auto"/>
            <w:vAlign w:val="center"/>
            <w:hideMark/>
          </w:tcPr>
          <w:p w:rsidR="007D483B" w:rsidRDefault="007D483B">
            <w:pPr>
              <w:jc w:val="right"/>
              <w:rPr>
                <w:b/>
                <w:bCs/>
              </w:rPr>
            </w:pPr>
            <w:r>
              <w:rPr>
                <w:b/>
                <w:bCs/>
              </w:rPr>
              <w:t>Frequency</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t>18–20 years</w:t>
            </w:r>
          </w:p>
        </w:tc>
        <w:tc>
          <w:tcPr>
            <w:tcW w:w="0" w:type="auto"/>
            <w:vAlign w:val="center"/>
            <w:hideMark/>
          </w:tcPr>
          <w:p w:rsidR="007D483B" w:rsidRDefault="007D483B">
            <w:pPr>
              <w:jc w:val="right"/>
            </w:pPr>
            <w:r>
              <w:t>38</w:t>
            </w:r>
          </w:p>
        </w:tc>
        <w:tc>
          <w:tcPr>
            <w:tcW w:w="0" w:type="auto"/>
            <w:vAlign w:val="center"/>
            <w:hideMark/>
          </w:tcPr>
          <w:p w:rsidR="007D483B" w:rsidRDefault="007D483B">
            <w:pPr>
              <w:jc w:val="right"/>
            </w:pPr>
            <w:r>
              <w:t>38%</w:t>
            </w:r>
          </w:p>
        </w:tc>
      </w:tr>
      <w:tr w:rsidR="007D483B" w:rsidTr="007D483B">
        <w:trPr>
          <w:tblCellSpacing w:w="15" w:type="dxa"/>
        </w:trPr>
        <w:tc>
          <w:tcPr>
            <w:tcW w:w="0" w:type="auto"/>
            <w:vAlign w:val="center"/>
            <w:hideMark/>
          </w:tcPr>
          <w:p w:rsidR="007D483B" w:rsidRDefault="007D483B">
            <w:r>
              <w:t>21–23 years</w:t>
            </w:r>
          </w:p>
        </w:tc>
        <w:tc>
          <w:tcPr>
            <w:tcW w:w="0" w:type="auto"/>
            <w:vAlign w:val="center"/>
            <w:hideMark/>
          </w:tcPr>
          <w:p w:rsidR="007D483B" w:rsidRDefault="007D483B">
            <w:pPr>
              <w:jc w:val="right"/>
            </w:pPr>
            <w:r>
              <w:t>46</w:t>
            </w:r>
          </w:p>
        </w:tc>
        <w:tc>
          <w:tcPr>
            <w:tcW w:w="0" w:type="auto"/>
            <w:vAlign w:val="center"/>
            <w:hideMark/>
          </w:tcPr>
          <w:p w:rsidR="007D483B" w:rsidRDefault="007D483B">
            <w:pPr>
              <w:jc w:val="right"/>
            </w:pPr>
            <w:r>
              <w:t>46%</w:t>
            </w:r>
          </w:p>
        </w:tc>
      </w:tr>
      <w:tr w:rsidR="007D483B" w:rsidTr="007D483B">
        <w:trPr>
          <w:tblCellSpacing w:w="15" w:type="dxa"/>
        </w:trPr>
        <w:tc>
          <w:tcPr>
            <w:tcW w:w="0" w:type="auto"/>
            <w:vAlign w:val="center"/>
            <w:hideMark/>
          </w:tcPr>
          <w:p w:rsidR="007D483B" w:rsidRDefault="007D483B">
            <w:r>
              <w:t>Above 23 years</w:t>
            </w:r>
          </w:p>
        </w:tc>
        <w:tc>
          <w:tcPr>
            <w:tcW w:w="0" w:type="auto"/>
            <w:vAlign w:val="center"/>
            <w:hideMark/>
          </w:tcPr>
          <w:p w:rsidR="007D483B" w:rsidRDefault="007D483B">
            <w:pPr>
              <w:jc w:val="right"/>
            </w:pPr>
            <w:r>
              <w:t>16</w:t>
            </w:r>
          </w:p>
        </w:tc>
        <w:tc>
          <w:tcPr>
            <w:tcW w:w="0" w:type="auto"/>
            <w:vAlign w:val="center"/>
            <w:hideMark/>
          </w:tcPr>
          <w:p w:rsidR="007D483B" w:rsidRDefault="007D483B">
            <w:pPr>
              <w:jc w:val="right"/>
            </w:pPr>
            <w:r>
              <w:t>16%</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100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The largest proportion of participants belonged to the 21–23 </w:t>
      </w:r>
      <w:proofErr w:type="gramStart"/>
      <w:r>
        <w:t>years</w:t>
      </w:r>
      <w:proofErr w:type="gramEnd"/>
      <w:r>
        <w:t xml:space="preserve"> age group (46%), followed by those aged 18–20 years (38%) and above 23 years (16%).</w:t>
      </w:r>
    </w:p>
    <w:p w:rsidR="007D483B" w:rsidRDefault="007D483B" w:rsidP="007D483B">
      <w:pPr>
        <w:pStyle w:val="Heading2"/>
      </w:pPr>
      <w:r>
        <w:t>Table 2. Distribution of Participants According to Gender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2"/>
        <w:gridCol w:w="1012"/>
        <w:gridCol w:w="1102"/>
      </w:tblGrid>
      <w:tr w:rsidR="007D483B" w:rsidTr="007D483B">
        <w:trPr>
          <w:tblCellSpacing w:w="15" w:type="dxa"/>
        </w:trPr>
        <w:tc>
          <w:tcPr>
            <w:tcW w:w="0" w:type="auto"/>
            <w:vAlign w:val="center"/>
            <w:hideMark/>
          </w:tcPr>
          <w:p w:rsidR="007D483B" w:rsidRDefault="007D483B">
            <w:pPr>
              <w:jc w:val="center"/>
              <w:rPr>
                <w:b/>
                <w:bCs/>
              </w:rPr>
            </w:pPr>
            <w:r>
              <w:rPr>
                <w:b/>
                <w:bCs/>
              </w:rPr>
              <w:lastRenderedPageBreak/>
              <w:t>Gender</w:t>
            </w:r>
          </w:p>
        </w:tc>
        <w:tc>
          <w:tcPr>
            <w:tcW w:w="0" w:type="auto"/>
            <w:vAlign w:val="center"/>
            <w:hideMark/>
          </w:tcPr>
          <w:p w:rsidR="007D483B" w:rsidRDefault="007D483B">
            <w:pPr>
              <w:jc w:val="right"/>
              <w:rPr>
                <w:b/>
                <w:bCs/>
              </w:rPr>
            </w:pPr>
            <w:r>
              <w:rPr>
                <w:b/>
                <w:bCs/>
              </w:rPr>
              <w:t>Frequency</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t>Female</w:t>
            </w:r>
          </w:p>
        </w:tc>
        <w:tc>
          <w:tcPr>
            <w:tcW w:w="0" w:type="auto"/>
            <w:vAlign w:val="center"/>
            <w:hideMark/>
          </w:tcPr>
          <w:p w:rsidR="007D483B" w:rsidRDefault="007D483B">
            <w:pPr>
              <w:jc w:val="right"/>
            </w:pPr>
            <w:r>
              <w:t>77</w:t>
            </w:r>
          </w:p>
        </w:tc>
        <w:tc>
          <w:tcPr>
            <w:tcW w:w="0" w:type="auto"/>
            <w:vAlign w:val="center"/>
            <w:hideMark/>
          </w:tcPr>
          <w:p w:rsidR="007D483B" w:rsidRDefault="007D483B">
            <w:pPr>
              <w:jc w:val="right"/>
            </w:pPr>
            <w:r>
              <w:t>77%</w:t>
            </w:r>
          </w:p>
        </w:tc>
      </w:tr>
      <w:tr w:rsidR="007D483B" w:rsidTr="007D483B">
        <w:trPr>
          <w:tblCellSpacing w:w="15" w:type="dxa"/>
        </w:trPr>
        <w:tc>
          <w:tcPr>
            <w:tcW w:w="0" w:type="auto"/>
            <w:vAlign w:val="center"/>
            <w:hideMark/>
          </w:tcPr>
          <w:p w:rsidR="007D483B" w:rsidRDefault="007D483B">
            <w:r>
              <w:t>Male</w:t>
            </w:r>
          </w:p>
        </w:tc>
        <w:tc>
          <w:tcPr>
            <w:tcW w:w="0" w:type="auto"/>
            <w:vAlign w:val="center"/>
            <w:hideMark/>
          </w:tcPr>
          <w:p w:rsidR="007D483B" w:rsidRDefault="007D483B">
            <w:pPr>
              <w:jc w:val="right"/>
            </w:pPr>
            <w:r>
              <w:t>23</w:t>
            </w:r>
          </w:p>
        </w:tc>
        <w:tc>
          <w:tcPr>
            <w:tcW w:w="0" w:type="auto"/>
            <w:vAlign w:val="center"/>
            <w:hideMark/>
          </w:tcPr>
          <w:p w:rsidR="007D483B" w:rsidRDefault="007D483B">
            <w:pPr>
              <w:jc w:val="right"/>
            </w:pPr>
            <w:r>
              <w:t>23%</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100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The majority of participants were female (77%), while 23% were male.</w:t>
      </w:r>
    </w:p>
    <w:p w:rsidR="007D483B" w:rsidRDefault="007D483B" w:rsidP="007D483B">
      <w:pPr>
        <w:pStyle w:val="Heading2"/>
      </w:pPr>
      <w:r>
        <w:t>Table 3. Distribution According to Academic Year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5"/>
        <w:gridCol w:w="1012"/>
        <w:gridCol w:w="1102"/>
      </w:tblGrid>
      <w:tr w:rsidR="007D483B" w:rsidTr="007D483B">
        <w:trPr>
          <w:tblCellSpacing w:w="15" w:type="dxa"/>
        </w:trPr>
        <w:tc>
          <w:tcPr>
            <w:tcW w:w="0" w:type="auto"/>
            <w:vAlign w:val="center"/>
            <w:hideMark/>
          </w:tcPr>
          <w:p w:rsidR="007D483B" w:rsidRDefault="007D483B">
            <w:pPr>
              <w:jc w:val="center"/>
              <w:rPr>
                <w:b/>
                <w:bCs/>
              </w:rPr>
            </w:pPr>
            <w:r>
              <w:rPr>
                <w:b/>
                <w:bCs/>
              </w:rPr>
              <w:t>Academic year</w:t>
            </w:r>
          </w:p>
        </w:tc>
        <w:tc>
          <w:tcPr>
            <w:tcW w:w="0" w:type="auto"/>
            <w:vAlign w:val="center"/>
            <w:hideMark/>
          </w:tcPr>
          <w:p w:rsidR="007D483B" w:rsidRDefault="007D483B">
            <w:pPr>
              <w:jc w:val="right"/>
              <w:rPr>
                <w:b/>
                <w:bCs/>
              </w:rPr>
            </w:pPr>
            <w:r>
              <w:rPr>
                <w:b/>
                <w:bCs/>
              </w:rPr>
              <w:t>Frequency</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t>First year</w:t>
            </w:r>
          </w:p>
        </w:tc>
        <w:tc>
          <w:tcPr>
            <w:tcW w:w="0" w:type="auto"/>
            <w:vAlign w:val="center"/>
            <w:hideMark/>
          </w:tcPr>
          <w:p w:rsidR="007D483B" w:rsidRDefault="007D483B">
            <w:pPr>
              <w:jc w:val="right"/>
            </w:pPr>
            <w:r>
              <w:t>25</w:t>
            </w:r>
          </w:p>
        </w:tc>
        <w:tc>
          <w:tcPr>
            <w:tcW w:w="0" w:type="auto"/>
            <w:vAlign w:val="center"/>
            <w:hideMark/>
          </w:tcPr>
          <w:p w:rsidR="007D483B" w:rsidRDefault="007D483B">
            <w:pPr>
              <w:jc w:val="right"/>
            </w:pPr>
            <w:r>
              <w:t>25%</w:t>
            </w:r>
          </w:p>
        </w:tc>
      </w:tr>
      <w:tr w:rsidR="007D483B" w:rsidTr="007D483B">
        <w:trPr>
          <w:tblCellSpacing w:w="15" w:type="dxa"/>
        </w:trPr>
        <w:tc>
          <w:tcPr>
            <w:tcW w:w="0" w:type="auto"/>
            <w:vAlign w:val="center"/>
            <w:hideMark/>
          </w:tcPr>
          <w:p w:rsidR="007D483B" w:rsidRDefault="007D483B">
            <w:r>
              <w:t>Second year</w:t>
            </w:r>
          </w:p>
        </w:tc>
        <w:tc>
          <w:tcPr>
            <w:tcW w:w="0" w:type="auto"/>
            <w:vAlign w:val="center"/>
            <w:hideMark/>
          </w:tcPr>
          <w:p w:rsidR="007D483B" w:rsidRDefault="007D483B">
            <w:pPr>
              <w:jc w:val="right"/>
            </w:pPr>
            <w:r>
              <w:t>28</w:t>
            </w:r>
          </w:p>
        </w:tc>
        <w:tc>
          <w:tcPr>
            <w:tcW w:w="0" w:type="auto"/>
            <w:vAlign w:val="center"/>
            <w:hideMark/>
          </w:tcPr>
          <w:p w:rsidR="007D483B" w:rsidRDefault="007D483B">
            <w:pPr>
              <w:jc w:val="right"/>
            </w:pPr>
            <w:r>
              <w:t>28%</w:t>
            </w:r>
          </w:p>
        </w:tc>
      </w:tr>
      <w:tr w:rsidR="007D483B" w:rsidTr="007D483B">
        <w:trPr>
          <w:tblCellSpacing w:w="15" w:type="dxa"/>
        </w:trPr>
        <w:tc>
          <w:tcPr>
            <w:tcW w:w="0" w:type="auto"/>
            <w:vAlign w:val="center"/>
            <w:hideMark/>
          </w:tcPr>
          <w:p w:rsidR="007D483B" w:rsidRDefault="007D483B">
            <w:r>
              <w:t>Third year</w:t>
            </w:r>
          </w:p>
        </w:tc>
        <w:tc>
          <w:tcPr>
            <w:tcW w:w="0" w:type="auto"/>
            <w:vAlign w:val="center"/>
            <w:hideMark/>
          </w:tcPr>
          <w:p w:rsidR="007D483B" w:rsidRDefault="007D483B">
            <w:pPr>
              <w:jc w:val="right"/>
            </w:pPr>
            <w:r>
              <w:t>27</w:t>
            </w:r>
          </w:p>
        </w:tc>
        <w:tc>
          <w:tcPr>
            <w:tcW w:w="0" w:type="auto"/>
            <w:vAlign w:val="center"/>
            <w:hideMark/>
          </w:tcPr>
          <w:p w:rsidR="007D483B" w:rsidRDefault="007D483B">
            <w:pPr>
              <w:jc w:val="right"/>
            </w:pPr>
            <w:r>
              <w:t>27%</w:t>
            </w:r>
          </w:p>
        </w:tc>
      </w:tr>
      <w:tr w:rsidR="007D483B" w:rsidTr="007D483B">
        <w:trPr>
          <w:tblCellSpacing w:w="15" w:type="dxa"/>
        </w:trPr>
        <w:tc>
          <w:tcPr>
            <w:tcW w:w="0" w:type="auto"/>
            <w:vAlign w:val="center"/>
            <w:hideMark/>
          </w:tcPr>
          <w:p w:rsidR="007D483B" w:rsidRDefault="007D483B">
            <w:r>
              <w:t>Fourth year</w:t>
            </w:r>
          </w:p>
        </w:tc>
        <w:tc>
          <w:tcPr>
            <w:tcW w:w="0" w:type="auto"/>
            <w:vAlign w:val="center"/>
            <w:hideMark/>
          </w:tcPr>
          <w:p w:rsidR="007D483B" w:rsidRDefault="007D483B">
            <w:pPr>
              <w:jc w:val="right"/>
            </w:pPr>
            <w:r>
              <w:t>20</w:t>
            </w:r>
          </w:p>
        </w:tc>
        <w:tc>
          <w:tcPr>
            <w:tcW w:w="0" w:type="auto"/>
            <w:vAlign w:val="center"/>
            <w:hideMark/>
          </w:tcPr>
          <w:p w:rsidR="007D483B" w:rsidRDefault="007D483B">
            <w:pPr>
              <w:jc w:val="right"/>
            </w:pPr>
            <w:r>
              <w:t>20%</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100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Second-year students constituted the largest group (28%), followed by third-year students (27%), first-year students (25%), and fourth-year students (20%).</w:t>
      </w:r>
    </w:p>
    <w:p w:rsidR="007D483B" w:rsidRDefault="007D483B" w:rsidP="007D483B">
      <w:pPr>
        <w:pStyle w:val="Heading2"/>
      </w:pPr>
      <w:r>
        <w:t>Table 4. Distribution According to Previous Clinical Exposure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9"/>
        <w:gridCol w:w="1012"/>
        <w:gridCol w:w="1102"/>
      </w:tblGrid>
      <w:tr w:rsidR="007D483B" w:rsidTr="007D483B">
        <w:trPr>
          <w:tblCellSpacing w:w="15" w:type="dxa"/>
        </w:trPr>
        <w:tc>
          <w:tcPr>
            <w:tcW w:w="0" w:type="auto"/>
            <w:vAlign w:val="center"/>
            <w:hideMark/>
          </w:tcPr>
          <w:p w:rsidR="007D483B" w:rsidRDefault="007D483B">
            <w:pPr>
              <w:jc w:val="center"/>
              <w:rPr>
                <w:b/>
                <w:bCs/>
              </w:rPr>
            </w:pPr>
            <w:r>
              <w:rPr>
                <w:b/>
                <w:bCs/>
              </w:rPr>
              <w:t>Clinical exposure</w:t>
            </w:r>
          </w:p>
        </w:tc>
        <w:tc>
          <w:tcPr>
            <w:tcW w:w="0" w:type="auto"/>
            <w:vAlign w:val="center"/>
            <w:hideMark/>
          </w:tcPr>
          <w:p w:rsidR="007D483B" w:rsidRDefault="007D483B">
            <w:pPr>
              <w:jc w:val="right"/>
              <w:rPr>
                <w:b/>
                <w:bCs/>
              </w:rPr>
            </w:pPr>
            <w:r>
              <w:rPr>
                <w:b/>
                <w:bCs/>
              </w:rPr>
              <w:t>Frequency</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t>Yes</w:t>
            </w:r>
          </w:p>
        </w:tc>
        <w:tc>
          <w:tcPr>
            <w:tcW w:w="0" w:type="auto"/>
            <w:vAlign w:val="center"/>
            <w:hideMark/>
          </w:tcPr>
          <w:p w:rsidR="007D483B" w:rsidRDefault="007D483B">
            <w:pPr>
              <w:jc w:val="right"/>
            </w:pPr>
            <w:r>
              <w:t>66</w:t>
            </w:r>
          </w:p>
        </w:tc>
        <w:tc>
          <w:tcPr>
            <w:tcW w:w="0" w:type="auto"/>
            <w:vAlign w:val="center"/>
            <w:hideMark/>
          </w:tcPr>
          <w:p w:rsidR="007D483B" w:rsidRDefault="007D483B">
            <w:pPr>
              <w:jc w:val="right"/>
            </w:pPr>
            <w:r>
              <w:t>66%</w:t>
            </w:r>
          </w:p>
        </w:tc>
      </w:tr>
      <w:tr w:rsidR="007D483B" w:rsidTr="007D483B">
        <w:trPr>
          <w:tblCellSpacing w:w="15" w:type="dxa"/>
        </w:trPr>
        <w:tc>
          <w:tcPr>
            <w:tcW w:w="0" w:type="auto"/>
            <w:vAlign w:val="center"/>
            <w:hideMark/>
          </w:tcPr>
          <w:p w:rsidR="007D483B" w:rsidRDefault="007D483B">
            <w:r>
              <w:t>No</w:t>
            </w:r>
          </w:p>
        </w:tc>
        <w:tc>
          <w:tcPr>
            <w:tcW w:w="0" w:type="auto"/>
            <w:vAlign w:val="center"/>
            <w:hideMark/>
          </w:tcPr>
          <w:p w:rsidR="007D483B" w:rsidRDefault="007D483B">
            <w:pPr>
              <w:jc w:val="right"/>
            </w:pPr>
            <w:r>
              <w:t>34</w:t>
            </w:r>
          </w:p>
        </w:tc>
        <w:tc>
          <w:tcPr>
            <w:tcW w:w="0" w:type="auto"/>
            <w:vAlign w:val="center"/>
            <w:hideMark/>
          </w:tcPr>
          <w:p w:rsidR="007D483B" w:rsidRDefault="007D483B">
            <w:pPr>
              <w:jc w:val="right"/>
            </w:pPr>
            <w:r>
              <w:t>34%</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100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Sixty-six percent of participants reported previous clinical exposure, while 34% reported no previous clinical exposure.</w:t>
      </w:r>
    </w:p>
    <w:p w:rsidR="007D483B" w:rsidRDefault="007D483B" w:rsidP="007D483B">
      <w:pPr>
        <w:pStyle w:val="Heading2"/>
      </w:pPr>
      <w:r>
        <w:t>Table 5. Previous Mental Health Education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8"/>
        <w:gridCol w:w="1012"/>
        <w:gridCol w:w="1102"/>
      </w:tblGrid>
      <w:tr w:rsidR="007D483B" w:rsidTr="007D483B">
        <w:trPr>
          <w:tblCellSpacing w:w="15" w:type="dxa"/>
        </w:trPr>
        <w:tc>
          <w:tcPr>
            <w:tcW w:w="0" w:type="auto"/>
            <w:vAlign w:val="center"/>
            <w:hideMark/>
          </w:tcPr>
          <w:p w:rsidR="007D483B" w:rsidRDefault="007D483B">
            <w:pPr>
              <w:jc w:val="center"/>
              <w:rPr>
                <w:b/>
                <w:bCs/>
              </w:rPr>
            </w:pPr>
            <w:r>
              <w:rPr>
                <w:b/>
                <w:bCs/>
              </w:rPr>
              <w:t>Previous education</w:t>
            </w:r>
          </w:p>
        </w:tc>
        <w:tc>
          <w:tcPr>
            <w:tcW w:w="0" w:type="auto"/>
            <w:vAlign w:val="center"/>
            <w:hideMark/>
          </w:tcPr>
          <w:p w:rsidR="007D483B" w:rsidRDefault="007D483B">
            <w:pPr>
              <w:jc w:val="right"/>
              <w:rPr>
                <w:b/>
                <w:bCs/>
              </w:rPr>
            </w:pPr>
            <w:r>
              <w:rPr>
                <w:b/>
                <w:bCs/>
              </w:rPr>
              <w:t>Frequency</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lastRenderedPageBreak/>
              <w:t>Yes</w:t>
            </w:r>
          </w:p>
        </w:tc>
        <w:tc>
          <w:tcPr>
            <w:tcW w:w="0" w:type="auto"/>
            <w:vAlign w:val="center"/>
            <w:hideMark/>
          </w:tcPr>
          <w:p w:rsidR="007D483B" w:rsidRDefault="007D483B">
            <w:pPr>
              <w:jc w:val="right"/>
            </w:pPr>
            <w:r>
              <w:t>59</w:t>
            </w:r>
          </w:p>
        </w:tc>
        <w:tc>
          <w:tcPr>
            <w:tcW w:w="0" w:type="auto"/>
            <w:vAlign w:val="center"/>
            <w:hideMark/>
          </w:tcPr>
          <w:p w:rsidR="007D483B" w:rsidRDefault="007D483B">
            <w:pPr>
              <w:jc w:val="right"/>
            </w:pPr>
            <w:r>
              <w:t>59%</w:t>
            </w:r>
          </w:p>
        </w:tc>
      </w:tr>
      <w:tr w:rsidR="007D483B" w:rsidTr="007D483B">
        <w:trPr>
          <w:tblCellSpacing w:w="15" w:type="dxa"/>
        </w:trPr>
        <w:tc>
          <w:tcPr>
            <w:tcW w:w="0" w:type="auto"/>
            <w:vAlign w:val="center"/>
            <w:hideMark/>
          </w:tcPr>
          <w:p w:rsidR="007D483B" w:rsidRDefault="007D483B">
            <w:r>
              <w:t>No</w:t>
            </w:r>
          </w:p>
        </w:tc>
        <w:tc>
          <w:tcPr>
            <w:tcW w:w="0" w:type="auto"/>
            <w:vAlign w:val="center"/>
            <w:hideMark/>
          </w:tcPr>
          <w:p w:rsidR="007D483B" w:rsidRDefault="007D483B">
            <w:pPr>
              <w:jc w:val="right"/>
            </w:pPr>
            <w:r>
              <w:t>41</w:t>
            </w:r>
          </w:p>
        </w:tc>
        <w:tc>
          <w:tcPr>
            <w:tcW w:w="0" w:type="auto"/>
            <w:vAlign w:val="center"/>
            <w:hideMark/>
          </w:tcPr>
          <w:p w:rsidR="007D483B" w:rsidRDefault="007D483B">
            <w:pPr>
              <w:jc w:val="right"/>
            </w:pPr>
            <w:r>
              <w:t>41%</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100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Fifty-nine percent of participants reported previous mental health education, whereas 41% had not received such education.</w:t>
      </w:r>
    </w:p>
    <w:p w:rsidR="007D483B" w:rsidRDefault="007D483B" w:rsidP="007D483B">
      <w:pPr>
        <w:pStyle w:val="Heading2"/>
      </w:pPr>
      <w:r>
        <w:t>Table 6. Level of Knowledge Regarding Nursing Interventions for Anxiety and Depression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7"/>
        <w:gridCol w:w="1133"/>
        <w:gridCol w:w="1012"/>
        <w:gridCol w:w="1102"/>
      </w:tblGrid>
      <w:tr w:rsidR="007D483B" w:rsidTr="007D483B">
        <w:trPr>
          <w:tblCellSpacing w:w="15" w:type="dxa"/>
        </w:trPr>
        <w:tc>
          <w:tcPr>
            <w:tcW w:w="0" w:type="auto"/>
            <w:vAlign w:val="center"/>
            <w:hideMark/>
          </w:tcPr>
          <w:p w:rsidR="007D483B" w:rsidRDefault="007D483B">
            <w:pPr>
              <w:jc w:val="center"/>
              <w:rPr>
                <w:b/>
                <w:bCs/>
              </w:rPr>
            </w:pPr>
            <w:r>
              <w:rPr>
                <w:b/>
                <w:bCs/>
              </w:rPr>
              <w:t>Knowledge level</w:t>
            </w:r>
          </w:p>
        </w:tc>
        <w:tc>
          <w:tcPr>
            <w:tcW w:w="0" w:type="auto"/>
            <w:vAlign w:val="center"/>
            <w:hideMark/>
          </w:tcPr>
          <w:p w:rsidR="007D483B" w:rsidRDefault="007D483B">
            <w:pPr>
              <w:jc w:val="center"/>
              <w:rPr>
                <w:b/>
                <w:bCs/>
              </w:rPr>
            </w:pPr>
            <w:r>
              <w:rPr>
                <w:b/>
                <w:bCs/>
              </w:rPr>
              <w:t>Score range</w:t>
            </w:r>
          </w:p>
        </w:tc>
        <w:tc>
          <w:tcPr>
            <w:tcW w:w="0" w:type="auto"/>
            <w:vAlign w:val="center"/>
            <w:hideMark/>
          </w:tcPr>
          <w:p w:rsidR="007D483B" w:rsidRDefault="007D483B">
            <w:pPr>
              <w:jc w:val="right"/>
              <w:rPr>
                <w:b/>
                <w:bCs/>
              </w:rPr>
            </w:pPr>
            <w:r>
              <w:rPr>
                <w:b/>
                <w:bCs/>
              </w:rPr>
              <w:t>Frequency</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t>Inadequate</w:t>
            </w:r>
          </w:p>
        </w:tc>
        <w:tc>
          <w:tcPr>
            <w:tcW w:w="0" w:type="auto"/>
            <w:vAlign w:val="center"/>
            <w:hideMark/>
          </w:tcPr>
          <w:p w:rsidR="007D483B" w:rsidRDefault="007D483B">
            <w:r>
              <w:t>0–12</w:t>
            </w:r>
          </w:p>
        </w:tc>
        <w:tc>
          <w:tcPr>
            <w:tcW w:w="0" w:type="auto"/>
            <w:vAlign w:val="center"/>
            <w:hideMark/>
          </w:tcPr>
          <w:p w:rsidR="007D483B" w:rsidRDefault="007D483B">
            <w:pPr>
              <w:jc w:val="right"/>
            </w:pPr>
            <w:r>
              <w:t>19</w:t>
            </w:r>
          </w:p>
        </w:tc>
        <w:tc>
          <w:tcPr>
            <w:tcW w:w="0" w:type="auto"/>
            <w:vAlign w:val="center"/>
            <w:hideMark/>
          </w:tcPr>
          <w:p w:rsidR="007D483B" w:rsidRDefault="007D483B">
            <w:pPr>
              <w:jc w:val="right"/>
            </w:pPr>
            <w:r>
              <w:t>19%</w:t>
            </w:r>
          </w:p>
        </w:tc>
      </w:tr>
      <w:tr w:rsidR="007D483B" w:rsidTr="007D483B">
        <w:trPr>
          <w:tblCellSpacing w:w="15" w:type="dxa"/>
        </w:trPr>
        <w:tc>
          <w:tcPr>
            <w:tcW w:w="0" w:type="auto"/>
            <w:vAlign w:val="center"/>
            <w:hideMark/>
          </w:tcPr>
          <w:p w:rsidR="007D483B" w:rsidRDefault="007D483B">
            <w:r>
              <w:t>Moderate</w:t>
            </w:r>
          </w:p>
        </w:tc>
        <w:tc>
          <w:tcPr>
            <w:tcW w:w="0" w:type="auto"/>
            <w:vAlign w:val="center"/>
            <w:hideMark/>
          </w:tcPr>
          <w:p w:rsidR="007D483B" w:rsidRDefault="007D483B">
            <w:r>
              <w:t>13–18</w:t>
            </w:r>
          </w:p>
        </w:tc>
        <w:tc>
          <w:tcPr>
            <w:tcW w:w="0" w:type="auto"/>
            <w:vAlign w:val="center"/>
            <w:hideMark/>
          </w:tcPr>
          <w:p w:rsidR="007D483B" w:rsidRDefault="007D483B">
            <w:pPr>
              <w:jc w:val="right"/>
            </w:pPr>
            <w:r>
              <w:t>51</w:t>
            </w:r>
          </w:p>
        </w:tc>
        <w:tc>
          <w:tcPr>
            <w:tcW w:w="0" w:type="auto"/>
            <w:vAlign w:val="center"/>
            <w:hideMark/>
          </w:tcPr>
          <w:p w:rsidR="007D483B" w:rsidRDefault="007D483B">
            <w:pPr>
              <w:jc w:val="right"/>
            </w:pPr>
            <w:r>
              <w:t>51%</w:t>
            </w:r>
          </w:p>
        </w:tc>
      </w:tr>
      <w:tr w:rsidR="007D483B" w:rsidTr="007D483B">
        <w:trPr>
          <w:tblCellSpacing w:w="15" w:type="dxa"/>
        </w:trPr>
        <w:tc>
          <w:tcPr>
            <w:tcW w:w="0" w:type="auto"/>
            <w:vAlign w:val="center"/>
            <w:hideMark/>
          </w:tcPr>
          <w:p w:rsidR="007D483B" w:rsidRDefault="007D483B">
            <w:r>
              <w:t>Adequate</w:t>
            </w:r>
          </w:p>
        </w:tc>
        <w:tc>
          <w:tcPr>
            <w:tcW w:w="0" w:type="auto"/>
            <w:vAlign w:val="center"/>
            <w:hideMark/>
          </w:tcPr>
          <w:p w:rsidR="007D483B" w:rsidRDefault="007D483B">
            <w:r>
              <w:t>19–25</w:t>
            </w:r>
          </w:p>
        </w:tc>
        <w:tc>
          <w:tcPr>
            <w:tcW w:w="0" w:type="auto"/>
            <w:vAlign w:val="center"/>
            <w:hideMark/>
          </w:tcPr>
          <w:p w:rsidR="007D483B" w:rsidRDefault="007D483B">
            <w:pPr>
              <w:jc w:val="right"/>
            </w:pPr>
            <w:r>
              <w:t>30</w:t>
            </w:r>
          </w:p>
        </w:tc>
        <w:tc>
          <w:tcPr>
            <w:tcW w:w="0" w:type="auto"/>
            <w:vAlign w:val="center"/>
            <w:hideMark/>
          </w:tcPr>
          <w:p w:rsidR="007D483B" w:rsidRDefault="007D483B">
            <w:pPr>
              <w:jc w:val="right"/>
            </w:pPr>
            <w:r>
              <w:t>30%</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tc>
        <w:tc>
          <w:tcPr>
            <w:tcW w:w="0" w:type="auto"/>
            <w:vAlign w:val="center"/>
            <w:hideMark/>
          </w:tcPr>
          <w:p w:rsidR="007D483B" w:rsidRDefault="007D483B">
            <w:pPr>
              <w:jc w:val="right"/>
              <w:rPr>
                <w:sz w:val="24"/>
                <w:szCs w:val="24"/>
              </w:rPr>
            </w:pPr>
            <w:r>
              <w:rPr>
                <w:rStyle w:val="Strong"/>
              </w:rPr>
              <w:t>100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More than half of the participants (51%) had moderate knowledge, 30% had adequate knowledge, and 19% had inadequate knowledge regarding nursing interventions for anxiety and depression.</w:t>
      </w:r>
    </w:p>
    <w:p w:rsidR="007D483B" w:rsidRDefault="007D483B" w:rsidP="007D483B">
      <w:pPr>
        <w:pStyle w:val="Heading2"/>
      </w:pPr>
      <w:r>
        <w:t>Table 7. Summary of Knowledge Scores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2"/>
        <w:gridCol w:w="623"/>
      </w:tblGrid>
      <w:tr w:rsidR="007D483B" w:rsidTr="007D483B">
        <w:trPr>
          <w:tblCellSpacing w:w="15" w:type="dxa"/>
        </w:trPr>
        <w:tc>
          <w:tcPr>
            <w:tcW w:w="0" w:type="auto"/>
            <w:vAlign w:val="center"/>
            <w:hideMark/>
          </w:tcPr>
          <w:p w:rsidR="007D483B" w:rsidRDefault="007D483B">
            <w:pPr>
              <w:jc w:val="center"/>
              <w:rPr>
                <w:b/>
                <w:bCs/>
              </w:rPr>
            </w:pPr>
            <w:r>
              <w:rPr>
                <w:b/>
                <w:bCs/>
              </w:rPr>
              <w:t>Statistical measure</w:t>
            </w:r>
          </w:p>
        </w:tc>
        <w:tc>
          <w:tcPr>
            <w:tcW w:w="0" w:type="auto"/>
            <w:vAlign w:val="center"/>
            <w:hideMark/>
          </w:tcPr>
          <w:p w:rsidR="007D483B" w:rsidRDefault="007D483B">
            <w:pPr>
              <w:jc w:val="right"/>
              <w:rPr>
                <w:b/>
                <w:bCs/>
              </w:rPr>
            </w:pPr>
            <w:r>
              <w:rPr>
                <w:b/>
                <w:bCs/>
              </w:rPr>
              <w:t>Value</w:t>
            </w:r>
          </w:p>
        </w:tc>
      </w:tr>
      <w:tr w:rsidR="007D483B" w:rsidTr="007D483B">
        <w:trPr>
          <w:tblCellSpacing w:w="15" w:type="dxa"/>
        </w:trPr>
        <w:tc>
          <w:tcPr>
            <w:tcW w:w="0" w:type="auto"/>
            <w:vAlign w:val="center"/>
            <w:hideMark/>
          </w:tcPr>
          <w:p w:rsidR="007D483B" w:rsidRDefault="007D483B">
            <w:r>
              <w:t>Total participants</w:t>
            </w:r>
          </w:p>
        </w:tc>
        <w:tc>
          <w:tcPr>
            <w:tcW w:w="0" w:type="auto"/>
            <w:vAlign w:val="center"/>
            <w:hideMark/>
          </w:tcPr>
          <w:p w:rsidR="007D483B" w:rsidRDefault="007D483B">
            <w:pPr>
              <w:jc w:val="right"/>
            </w:pPr>
            <w:r>
              <w:t>100</w:t>
            </w:r>
          </w:p>
        </w:tc>
      </w:tr>
      <w:tr w:rsidR="007D483B" w:rsidTr="007D483B">
        <w:trPr>
          <w:tblCellSpacing w:w="15" w:type="dxa"/>
        </w:trPr>
        <w:tc>
          <w:tcPr>
            <w:tcW w:w="0" w:type="auto"/>
            <w:vAlign w:val="center"/>
            <w:hideMark/>
          </w:tcPr>
          <w:p w:rsidR="007D483B" w:rsidRDefault="007D483B">
            <w:r>
              <w:t>Maximum possible score</w:t>
            </w:r>
          </w:p>
        </w:tc>
        <w:tc>
          <w:tcPr>
            <w:tcW w:w="0" w:type="auto"/>
            <w:vAlign w:val="center"/>
            <w:hideMark/>
          </w:tcPr>
          <w:p w:rsidR="007D483B" w:rsidRDefault="007D483B">
            <w:pPr>
              <w:jc w:val="right"/>
            </w:pPr>
            <w:r>
              <w:t>25</w:t>
            </w:r>
          </w:p>
        </w:tc>
      </w:tr>
      <w:tr w:rsidR="007D483B" w:rsidTr="007D483B">
        <w:trPr>
          <w:tblCellSpacing w:w="15" w:type="dxa"/>
        </w:trPr>
        <w:tc>
          <w:tcPr>
            <w:tcW w:w="0" w:type="auto"/>
            <w:vAlign w:val="center"/>
            <w:hideMark/>
          </w:tcPr>
          <w:p w:rsidR="007D483B" w:rsidRDefault="007D483B">
            <w:r>
              <w:t>Mean score</w:t>
            </w:r>
          </w:p>
        </w:tc>
        <w:tc>
          <w:tcPr>
            <w:tcW w:w="0" w:type="auto"/>
            <w:vAlign w:val="center"/>
            <w:hideMark/>
          </w:tcPr>
          <w:p w:rsidR="007D483B" w:rsidRDefault="007D483B">
            <w:pPr>
              <w:jc w:val="right"/>
            </w:pPr>
            <w:r>
              <w:t>17.0</w:t>
            </w:r>
          </w:p>
        </w:tc>
      </w:tr>
      <w:tr w:rsidR="007D483B" w:rsidTr="007D483B">
        <w:trPr>
          <w:tblCellSpacing w:w="15" w:type="dxa"/>
        </w:trPr>
        <w:tc>
          <w:tcPr>
            <w:tcW w:w="0" w:type="auto"/>
            <w:vAlign w:val="center"/>
            <w:hideMark/>
          </w:tcPr>
          <w:p w:rsidR="007D483B" w:rsidRDefault="007D483B">
            <w:r>
              <w:t>Standard deviation</w:t>
            </w:r>
          </w:p>
        </w:tc>
        <w:tc>
          <w:tcPr>
            <w:tcW w:w="0" w:type="auto"/>
            <w:vAlign w:val="center"/>
            <w:hideMark/>
          </w:tcPr>
          <w:p w:rsidR="007D483B" w:rsidRDefault="007D483B">
            <w:pPr>
              <w:jc w:val="right"/>
            </w:pPr>
            <w:r>
              <w:t>4.0</w:t>
            </w:r>
          </w:p>
        </w:tc>
      </w:tr>
      <w:tr w:rsidR="007D483B" w:rsidTr="007D483B">
        <w:trPr>
          <w:tblCellSpacing w:w="15" w:type="dxa"/>
        </w:trPr>
        <w:tc>
          <w:tcPr>
            <w:tcW w:w="0" w:type="auto"/>
            <w:vAlign w:val="center"/>
            <w:hideMark/>
          </w:tcPr>
          <w:p w:rsidR="007D483B" w:rsidRDefault="007D483B">
            <w:r>
              <w:t>Mean percentage</w:t>
            </w:r>
          </w:p>
        </w:tc>
        <w:tc>
          <w:tcPr>
            <w:tcW w:w="0" w:type="auto"/>
            <w:vAlign w:val="center"/>
            <w:hideMark/>
          </w:tcPr>
          <w:p w:rsidR="007D483B" w:rsidRDefault="007D483B">
            <w:pPr>
              <w:jc w:val="right"/>
            </w:pPr>
            <w:r>
              <w:t>68.0%</w:t>
            </w:r>
          </w:p>
        </w:tc>
      </w:tr>
    </w:tbl>
    <w:p w:rsidR="007D483B" w:rsidRDefault="007D483B" w:rsidP="007D483B">
      <w:pPr>
        <w:pStyle w:val="NormalWeb"/>
      </w:pPr>
      <w:r>
        <w:rPr>
          <w:rStyle w:val="Strong"/>
        </w:rPr>
        <w:t>Interpretation:</w:t>
      </w:r>
      <w:r>
        <w:t xml:space="preserve"> The mean knowledge score was 17.0 out of 25, corresponding to 68% of the maximum possible score. According to the scoring criteria, this falls within the moderate knowledge category.</w:t>
      </w:r>
    </w:p>
    <w:p w:rsidR="007D483B" w:rsidRDefault="007D483B" w:rsidP="007D483B">
      <w:pPr>
        <w:pStyle w:val="Heading2"/>
      </w:pPr>
      <w:r>
        <w:lastRenderedPageBreak/>
        <w:t>Table 8. Domain-Wise Knowledge Regarding Nursing Interventions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6"/>
        <w:gridCol w:w="1529"/>
        <w:gridCol w:w="1127"/>
        <w:gridCol w:w="1102"/>
      </w:tblGrid>
      <w:tr w:rsidR="007D483B" w:rsidTr="007D483B">
        <w:trPr>
          <w:tblCellSpacing w:w="15" w:type="dxa"/>
        </w:trPr>
        <w:tc>
          <w:tcPr>
            <w:tcW w:w="0" w:type="auto"/>
            <w:vAlign w:val="center"/>
            <w:hideMark/>
          </w:tcPr>
          <w:p w:rsidR="007D483B" w:rsidRDefault="007D483B">
            <w:pPr>
              <w:jc w:val="center"/>
              <w:rPr>
                <w:b/>
                <w:bCs/>
              </w:rPr>
            </w:pPr>
            <w:r>
              <w:rPr>
                <w:b/>
                <w:bCs/>
              </w:rPr>
              <w:t>Knowledge domain</w:t>
            </w:r>
          </w:p>
        </w:tc>
        <w:tc>
          <w:tcPr>
            <w:tcW w:w="0" w:type="auto"/>
            <w:vAlign w:val="center"/>
            <w:hideMark/>
          </w:tcPr>
          <w:p w:rsidR="007D483B" w:rsidRDefault="007D483B">
            <w:pPr>
              <w:jc w:val="right"/>
              <w:rPr>
                <w:b/>
                <w:bCs/>
              </w:rPr>
            </w:pPr>
            <w:r>
              <w:rPr>
                <w:b/>
                <w:bCs/>
              </w:rPr>
              <w:t>Maximum score</w:t>
            </w:r>
          </w:p>
        </w:tc>
        <w:tc>
          <w:tcPr>
            <w:tcW w:w="0" w:type="auto"/>
            <w:vAlign w:val="center"/>
            <w:hideMark/>
          </w:tcPr>
          <w:p w:rsidR="007D483B" w:rsidRDefault="007D483B">
            <w:pPr>
              <w:jc w:val="right"/>
              <w:rPr>
                <w:b/>
                <w:bCs/>
              </w:rPr>
            </w:pPr>
            <w:r>
              <w:rPr>
                <w:b/>
                <w:bCs/>
              </w:rPr>
              <w:t>Mean score</w:t>
            </w:r>
          </w:p>
        </w:tc>
        <w:tc>
          <w:tcPr>
            <w:tcW w:w="0" w:type="auto"/>
            <w:vAlign w:val="center"/>
            <w:hideMark/>
          </w:tcPr>
          <w:p w:rsidR="007D483B" w:rsidRDefault="007D483B">
            <w:pPr>
              <w:jc w:val="right"/>
              <w:rPr>
                <w:b/>
                <w:bCs/>
              </w:rPr>
            </w:pPr>
            <w:r>
              <w:rPr>
                <w:b/>
                <w:bCs/>
              </w:rPr>
              <w:t>Percentage</w:t>
            </w:r>
          </w:p>
        </w:tc>
      </w:tr>
      <w:tr w:rsidR="007D483B" w:rsidTr="007D483B">
        <w:trPr>
          <w:tblCellSpacing w:w="15" w:type="dxa"/>
        </w:trPr>
        <w:tc>
          <w:tcPr>
            <w:tcW w:w="0" w:type="auto"/>
            <w:vAlign w:val="center"/>
            <w:hideMark/>
          </w:tcPr>
          <w:p w:rsidR="007D483B" w:rsidRDefault="007D483B">
            <w:r>
              <w:t>Characteristics of anxiety and depression</w:t>
            </w:r>
          </w:p>
        </w:tc>
        <w:tc>
          <w:tcPr>
            <w:tcW w:w="0" w:type="auto"/>
            <w:vAlign w:val="center"/>
            <w:hideMark/>
          </w:tcPr>
          <w:p w:rsidR="007D483B" w:rsidRDefault="007D483B">
            <w:pPr>
              <w:jc w:val="right"/>
            </w:pPr>
            <w:r>
              <w:t>5</w:t>
            </w:r>
          </w:p>
        </w:tc>
        <w:tc>
          <w:tcPr>
            <w:tcW w:w="0" w:type="auto"/>
            <w:vAlign w:val="center"/>
            <w:hideMark/>
          </w:tcPr>
          <w:p w:rsidR="007D483B" w:rsidRDefault="007D483B">
            <w:pPr>
              <w:jc w:val="right"/>
            </w:pPr>
            <w:r>
              <w:t>3.9</w:t>
            </w:r>
          </w:p>
        </w:tc>
        <w:tc>
          <w:tcPr>
            <w:tcW w:w="0" w:type="auto"/>
            <w:vAlign w:val="center"/>
            <w:hideMark/>
          </w:tcPr>
          <w:p w:rsidR="007D483B" w:rsidRDefault="007D483B">
            <w:pPr>
              <w:jc w:val="right"/>
            </w:pPr>
            <w:r>
              <w:t>78%</w:t>
            </w:r>
          </w:p>
        </w:tc>
      </w:tr>
      <w:tr w:rsidR="007D483B" w:rsidTr="007D483B">
        <w:trPr>
          <w:tblCellSpacing w:w="15" w:type="dxa"/>
        </w:trPr>
        <w:tc>
          <w:tcPr>
            <w:tcW w:w="0" w:type="auto"/>
            <w:vAlign w:val="center"/>
            <w:hideMark/>
          </w:tcPr>
          <w:p w:rsidR="007D483B" w:rsidRDefault="007D483B">
            <w:r>
              <w:t>Symptoms and assessment</w:t>
            </w:r>
          </w:p>
        </w:tc>
        <w:tc>
          <w:tcPr>
            <w:tcW w:w="0" w:type="auto"/>
            <w:vAlign w:val="center"/>
            <w:hideMark/>
          </w:tcPr>
          <w:p w:rsidR="007D483B" w:rsidRDefault="007D483B">
            <w:pPr>
              <w:jc w:val="right"/>
            </w:pPr>
            <w:r>
              <w:t>5</w:t>
            </w:r>
          </w:p>
        </w:tc>
        <w:tc>
          <w:tcPr>
            <w:tcW w:w="0" w:type="auto"/>
            <w:vAlign w:val="center"/>
            <w:hideMark/>
          </w:tcPr>
          <w:p w:rsidR="007D483B" w:rsidRDefault="007D483B">
            <w:pPr>
              <w:jc w:val="right"/>
            </w:pPr>
            <w:r>
              <w:t>3.6</w:t>
            </w:r>
          </w:p>
        </w:tc>
        <w:tc>
          <w:tcPr>
            <w:tcW w:w="0" w:type="auto"/>
            <w:vAlign w:val="center"/>
            <w:hideMark/>
          </w:tcPr>
          <w:p w:rsidR="007D483B" w:rsidRDefault="007D483B">
            <w:pPr>
              <w:jc w:val="right"/>
            </w:pPr>
            <w:r>
              <w:t>72%</w:t>
            </w:r>
          </w:p>
        </w:tc>
      </w:tr>
      <w:tr w:rsidR="007D483B" w:rsidTr="007D483B">
        <w:trPr>
          <w:tblCellSpacing w:w="15" w:type="dxa"/>
        </w:trPr>
        <w:tc>
          <w:tcPr>
            <w:tcW w:w="0" w:type="auto"/>
            <w:vAlign w:val="center"/>
            <w:hideMark/>
          </w:tcPr>
          <w:p w:rsidR="007D483B" w:rsidRDefault="007D483B">
            <w:r>
              <w:t>Therapeutic communication</w:t>
            </w:r>
          </w:p>
        </w:tc>
        <w:tc>
          <w:tcPr>
            <w:tcW w:w="0" w:type="auto"/>
            <w:vAlign w:val="center"/>
            <w:hideMark/>
          </w:tcPr>
          <w:p w:rsidR="007D483B" w:rsidRDefault="007D483B">
            <w:pPr>
              <w:jc w:val="right"/>
            </w:pPr>
            <w:r>
              <w:t>5</w:t>
            </w:r>
          </w:p>
        </w:tc>
        <w:tc>
          <w:tcPr>
            <w:tcW w:w="0" w:type="auto"/>
            <w:vAlign w:val="center"/>
            <w:hideMark/>
          </w:tcPr>
          <w:p w:rsidR="007D483B" w:rsidRDefault="007D483B">
            <w:pPr>
              <w:jc w:val="right"/>
            </w:pPr>
            <w:r>
              <w:t>3.5</w:t>
            </w:r>
          </w:p>
        </w:tc>
        <w:tc>
          <w:tcPr>
            <w:tcW w:w="0" w:type="auto"/>
            <w:vAlign w:val="center"/>
            <w:hideMark/>
          </w:tcPr>
          <w:p w:rsidR="007D483B" w:rsidRDefault="007D483B">
            <w:pPr>
              <w:jc w:val="right"/>
            </w:pPr>
            <w:r>
              <w:t>70%</w:t>
            </w:r>
          </w:p>
        </w:tc>
      </w:tr>
      <w:tr w:rsidR="007D483B" w:rsidTr="007D483B">
        <w:trPr>
          <w:tblCellSpacing w:w="15" w:type="dxa"/>
        </w:trPr>
        <w:tc>
          <w:tcPr>
            <w:tcW w:w="0" w:type="auto"/>
            <w:vAlign w:val="center"/>
            <w:hideMark/>
          </w:tcPr>
          <w:p w:rsidR="007D483B" w:rsidRDefault="007D483B">
            <w:r>
              <w:t>Nursing interventions and supportive care</w:t>
            </w:r>
          </w:p>
        </w:tc>
        <w:tc>
          <w:tcPr>
            <w:tcW w:w="0" w:type="auto"/>
            <w:vAlign w:val="center"/>
            <w:hideMark/>
          </w:tcPr>
          <w:p w:rsidR="007D483B" w:rsidRDefault="007D483B">
            <w:pPr>
              <w:jc w:val="right"/>
            </w:pPr>
            <w:r>
              <w:t>5</w:t>
            </w:r>
          </w:p>
        </w:tc>
        <w:tc>
          <w:tcPr>
            <w:tcW w:w="0" w:type="auto"/>
            <w:vAlign w:val="center"/>
            <w:hideMark/>
          </w:tcPr>
          <w:p w:rsidR="007D483B" w:rsidRDefault="007D483B">
            <w:pPr>
              <w:jc w:val="right"/>
            </w:pPr>
            <w:r>
              <w:t>3.2</w:t>
            </w:r>
          </w:p>
        </w:tc>
        <w:tc>
          <w:tcPr>
            <w:tcW w:w="0" w:type="auto"/>
            <w:vAlign w:val="center"/>
            <w:hideMark/>
          </w:tcPr>
          <w:p w:rsidR="007D483B" w:rsidRDefault="007D483B">
            <w:pPr>
              <w:jc w:val="right"/>
            </w:pPr>
            <w:r>
              <w:t>64%</w:t>
            </w:r>
          </w:p>
        </w:tc>
      </w:tr>
      <w:tr w:rsidR="007D483B" w:rsidTr="007D483B">
        <w:trPr>
          <w:tblCellSpacing w:w="15" w:type="dxa"/>
        </w:trPr>
        <w:tc>
          <w:tcPr>
            <w:tcW w:w="0" w:type="auto"/>
            <w:vAlign w:val="center"/>
            <w:hideMark/>
          </w:tcPr>
          <w:p w:rsidR="007D483B" w:rsidRDefault="007D483B">
            <w:r>
              <w:t>Referral and patient safety</w:t>
            </w:r>
          </w:p>
        </w:tc>
        <w:tc>
          <w:tcPr>
            <w:tcW w:w="0" w:type="auto"/>
            <w:vAlign w:val="center"/>
            <w:hideMark/>
          </w:tcPr>
          <w:p w:rsidR="007D483B" w:rsidRDefault="007D483B">
            <w:pPr>
              <w:jc w:val="right"/>
            </w:pPr>
            <w:r>
              <w:t>5</w:t>
            </w:r>
          </w:p>
        </w:tc>
        <w:tc>
          <w:tcPr>
            <w:tcW w:w="0" w:type="auto"/>
            <w:vAlign w:val="center"/>
            <w:hideMark/>
          </w:tcPr>
          <w:p w:rsidR="007D483B" w:rsidRDefault="007D483B">
            <w:pPr>
              <w:jc w:val="right"/>
            </w:pPr>
            <w:r>
              <w:t>2.8</w:t>
            </w:r>
          </w:p>
        </w:tc>
        <w:tc>
          <w:tcPr>
            <w:tcW w:w="0" w:type="auto"/>
            <w:vAlign w:val="center"/>
            <w:hideMark/>
          </w:tcPr>
          <w:p w:rsidR="007D483B" w:rsidRDefault="007D483B">
            <w:pPr>
              <w:jc w:val="right"/>
            </w:pPr>
            <w:r>
              <w:t>56%</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25</w:t>
            </w:r>
          </w:p>
        </w:tc>
        <w:tc>
          <w:tcPr>
            <w:tcW w:w="0" w:type="auto"/>
            <w:vAlign w:val="center"/>
            <w:hideMark/>
          </w:tcPr>
          <w:p w:rsidR="007D483B" w:rsidRDefault="007D483B">
            <w:pPr>
              <w:jc w:val="right"/>
            </w:pPr>
            <w:r>
              <w:rPr>
                <w:rStyle w:val="Strong"/>
              </w:rPr>
              <w:t>17.0</w:t>
            </w:r>
          </w:p>
        </w:tc>
        <w:tc>
          <w:tcPr>
            <w:tcW w:w="0" w:type="auto"/>
            <w:vAlign w:val="center"/>
            <w:hideMark/>
          </w:tcPr>
          <w:p w:rsidR="007D483B" w:rsidRDefault="007D483B">
            <w:pPr>
              <w:jc w:val="right"/>
            </w:pPr>
            <w:r>
              <w:rPr>
                <w:rStyle w:val="Strong"/>
              </w:rPr>
              <w:t>68%</w:t>
            </w:r>
          </w:p>
        </w:tc>
      </w:tr>
    </w:tbl>
    <w:p w:rsidR="007D483B" w:rsidRDefault="007D483B" w:rsidP="007D483B">
      <w:pPr>
        <w:pStyle w:val="NormalWeb"/>
      </w:pPr>
      <w:r>
        <w:rPr>
          <w:rStyle w:val="Strong"/>
        </w:rPr>
        <w:t>Interpretation:</w:t>
      </w:r>
      <w:r>
        <w:t xml:space="preserve"> Knowledge was highest regarding the characteristics of anxiety and depression (78%). The lowest mean percentage was observed in referral and patient safety (56%), indicating an area that may benefit from additional educational attention.</w:t>
      </w:r>
    </w:p>
    <w:p w:rsidR="007D483B" w:rsidRDefault="007D483B" w:rsidP="007D483B">
      <w:pPr>
        <w:pStyle w:val="Heading2"/>
      </w:pPr>
      <w:r>
        <w:t>Table 9. Association Between Previous Clinical Exposure and Knowledge Level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9"/>
        <w:gridCol w:w="1106"/>
        <w:gridCol w:w="974"/>
        <w:gridCol w:w="954"/>
        <w:gridCol w:w="542"/>
      </w:tblGrid>
      <w:tr w:rsidR="007D483B" w:rsidTr="007D483B">
        <w:trPr>
          <w:tblCellSpacing w:w="15" w:type="dxa"/>
        </w:trPr>
        <w:tc>
          <w:tcPr>
            <w:tcW w:w="0" w:type="auto"/>
            <w:vAlign w:val="center"/>
            <w:hideMark/>
          </w:tcPr>
          <w:p w:rsidR="007D483B" w:rsidRDefault="007D483B">
            <w:pPr>
              <w:jc w:val="center"/>
              <w:rPr>
                <w:b/>
                <w:bCs/>
              </w:rPr>
            </w:pPr>
            <w:r>
              <w:rPr>
                <w:b/>
                <w:bCs/>
              </w:rPr>
              <w:t>Clinical exposure</w:t>
            </w:r>
          </w:p>
        </w:tc>
        <w:tc>
          <w:tcPr>
            <w:tcW w:w="0" w:type="auto"/>
            <w:vAlign w:val="center"/>
            <w:hideMark/>
          </w:tcPr>
          <w:p w:rsidR="007D483B" w:rsidRDefault="007D483B">
            <w:pPr>
              <w:jc w:val="right"/>
              <w:rPr>
                <w:b/>
                <w:bCs/>
              </w:rPr>
            </w:pPr>
            <w:r>
              <w:rPr>
                <w:b/>
                <w:bCs/>
              </w:rPr>
              <w:t>Inadequate</w:t>
            </w:r>
          </w:p>
        </w:tc>
        <w:tc>
          <w:tcPr>
            <w:tcW w:w="0" w:type="auto"/>
            <w:vAlign w:val="center"/>
            <w:hideMark/>
          </w:tcPr>
          <w:p w:rsidR="007D483B" w:rsidRDefault="007D483B">
            <w:pPr>
              <w:jc w:val="right"/>
              <w:rPr>
                <w:b/>
                <w:bCs/>
              </w:rPr>
            </w:pPr>
            <w:r>
              <w:rPr>
                <w:b/>
                <w:bCs/>
              </w:rPr>
              <w:t>Moderate</w:t>
            </w:r>
          </w:p>
        </w:tc>
        <w:tc>
          <w:tcPr>
            <w:tcW w:w="0" w:type="auto"/>
            <w:vAlign w:val="center"/>
            <w:hideMark/>
          </w:tcPr>
          <w:p w:rsidR="007D483B" w:rsidRDefault="007D483B">
            <w:pPr>
              <w:jc w:val="right"/>
              <w:rPr>
                <w:b/>
                <w:bCs/>
              </w:rPr>
            </w:pPr>
            <w:r>
              <w:rPr>
                <w:b/>
                <w:bCs/>
              </w:rPr>
              <w:t>Adequate</w:t>
            </w:r>
          </w:p>
        </w:tc>
        <w:tc>
          <w:tcPr>
            <w:tcW w:w="0" w:type="auto"/>
            <w:vAlign w:val="center"/>
            <w:hideMark/>
          </w:tcPr>
          <w:p w:rsidR="007D483B" w:rsidRDefault="007D483B">
            <w:pPr>
              <w:jc w:val="right"/>
              <w:rPr>
                <w:b/>
                <w:bCs/>
              </w:rPr>
            </w:pPr>
            <w:r>
              <w:rPr>
                <w:b/>
                <w:bCs/>
              </w:rPr>
              <w:t>Total</w:t>
            </w:r>
          </w:p>
        </w:tc>
      </w:tr>
      <w:tr w:rsidR="007D483B" w:rsidTr="007D483B">
        <w:trPr>
          <w:tblCellSpacing w:w="15" w:type="dxa"/>
        </w:trPr>
        <w:tc>
          <w:tcPr>
            <w:tcW w:w="0" w:type="auto"/>
            <w:vAlign w:val="center"/>
            <w:hideMark/>
          </w:tcPr>
          <w:p w:rsidR="007D483B" w:rsidRDefault="007D483B">
            <w:r>
              <w:t>Yes</w:t>
            </w:r>
          </w:p>
        </w:tc>
        <w:tc>
          <w:tcPr>
            <w:tcW w:w="0" w:type="auto"/>
            <w:vAlign w:val="center"/>
            <w:hideMark/>
          </w:tcPr>
          <w:p w:rsidR="007D483B" w:rsidRDefault="007D483B">
            <w:pPr>
              <w:jc w:val="right"/>
            </w:pPr>
            <w:r>
              <w:t>10</w:t>
            </w:r>
          </w:p>
        </w:tc>
        <w:tc>
          <w:tcPr>
            <w:tcW w:w="0" w:type="auto"/>
            <w:vAlign w:val="center"/>
            <w:hideMark/>
          </w:tcPr>
          <w:p w:rsidR="007D483B" w:rsidRDefault="007D483B">
            <w:pPr>
              <w:jc w:val="right"/>
            </w:pPr>
            <w:r>
              <w:t>34</w:t>
            </w:r>
          </w:p>
        </w:tc>
        <w:tc>
          <w:tcPr>
            <w:tcW w:w="0" w:type="auto"/>
            <w:vAlign w:val="center"/>
            <w:hideMark/>
          </w:tcPr>
          <w:p w:rsidR="007D483B" w:rsidRDefault="007D483B">
            <w:pPr>
              <w:jc w:val="right"/>
            </w:pPr>
            <w:r>
              <w:t>22</w:t>
            </w:r>
          </w:p>
        </w:tc>
        <w:tc>
          <w:tcPr>
            <w:tcW w:w="0" w:type="auto"/>
            <w:vAlign w:val="center"/>
            <w:hideMark/>
          </w:tcPr>
          <w:p w:rsidR="007D483B" w:rsidRDefault="007D483B">
            <w:pPr>
              <w:jc w:val="right"/>
            </w:pPr>
            <w:r>
              <w:t>66</w:t>
            </w:r>
          </w:p>
        </w:tc>
      </w:tr>
      <w:tr w:rsidR="007D483B" w:rsidTr="007D483B">
        <w:trPr>
          <w:tblCellSpacing w:w="15" w:type="dxa"/>
        </w:trPr>
        <w:tc>
          <w:tcPr>
            <w:tcW w:w="0" w:type="auto"/>
            <w:vAlign w:val="center"/>
            <w:hideMark/>
          </w:tcPr>
          <w:p w:rsidR="007D483B" w:rsidRDefault="007D483B">
            <w:r>
              <w:t>No</w:t>
            </w:r>
          </w:p>
        </w:tc>
        <w:tc>
          <w:tcPr>
            <w:tcW w:w="0" w:type="auto"/>
            <w:vAlign w:val="center"/>
            <w:hideMark/>
          </w:tcPr>
          <w:p w:rsidR="007D483B" w:rsidRDefault="007D483B">
            <w:pPr>
              <w:jc w:val="right"/>
            </w:pPr>
            <w:r>
              <w:t>9</w:t>
            </w:r>
          </w:p>
        </w:tc>
        <w:tc>
          <w:tcPr>
            <w:tcW w:w="0" w:type="auto"/>
            <w:vAlign w:val="center"/>
            <w:hideMark/>
          </w:tcPr>
          <w:p w:rsidR="007D483B" w:rsidRDefault="007D483B">
            <w:pPr>
              <w:jc w:val="right"/>
            </w:pPr>
            <w:r>
              <w:t>17</w:t>
            </w:r>
          </w:p>
        </w:tc>
        <w:tc>
          <w:tcPr>
            <w:tcW w:w="0" w:type="auto"/>
            <w:vAlign w:val="center"/>
            <w:hideMark/>
          </w:tcPr>
          <w:p w:rsidR="007D483B" w:rsidRDefault="007D483B">
            <w:pPr>
              <w:jc w:val="right"/>
            </w:pPr>
            <w:r>
              <w:t>8</w:t>
            </w:r>
          </w:p>
        </w:tc>
        <w:tc>
          <w:tcPr>
            <w:tcW w:w="0" w:type="auto"/>
            <w:vAlign w:val="center"/>
            <w:hideMark/>
          </w:tcPr>
          <w:p w:rsidR="007D483B" w:rsidRDefault="007D483B">
            <w:pPr>
              <w:jc w:val="right"/>
            </w:pPr>
            <w:r>
              <w:t>34</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19</w:t>
            </w:r>
          </w:p>
        </w:tc>
        <w:tc>
          <w:tcPr>
            <w:tcW w:w="0" w:type="auto"/>
            <w:vAlign w:val="center"/>
            <w:hideMark/>
          </w:tcPr>
          <w:p w:rsidR="007D483B" w:rsidRDefault="007D483B">
            <w:pPr>
              <w:jc w:val="right"/>
            </w:pPr>
            <w:r>
              <w:rPr>
                <w:rStyle w:val="Strong"/>
              </w:rPr>
              <w:t>51</w:t>
            </w:r>
          </w:p>
        </w:tc>
        <w:tc>
          <w:tcPr>
            <w:tcW w:w="0" w:type="auto"/>
            <w:vAlign w:val="center"/>
            <w:hideMark/>
          </w:tcPr>
          <w:p w:rsidR="007D483B" w:rsidRDefault="007D483B">
            <w:pPr>
              <w:jc w:val="right"/>
            </w:pPr>
            <w:r>
              <w:rPr>
                <w:rStyle w:val="Strong"/>
              </w:rPr>
              <w:t>30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Adequate knowledge was observed in 33.3% of participants with previous clinical exposure and 23.5% of participants without previous clinical exposure. An appropriate statistical test is required to determine whether the difference is statistically significant.</w:t>
      </w:r>
    </w:p>
    <w:p w:rsidR="007D483B" w:rsidRDefault="007D483B" w:rsidP="007D483B">
      <w:pPr>
        <w:pStyle w:val="Heading2"/>
      </w:pPr>
      <w:r>
        <w:t>Table 10. Association Between Previous Mental Health Education and Knowledge Level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0"/>
        <w:gridCol w:w="1106"/>
        <w:gridCol w:w="974"/>
        <w:gridCol w:w="954"/>
        <w:gridCol w:w="542"/>
      </w:tblGrid>
      <w:tr w:rsidR="007D483B" w:rsidTr="007D483B">
        <w:trPr>
          <w:tblCellSpacing w:w="15" w:type="dxa"/>
        </w:trPr>
        <w:tc>
          <w:tcPr>
            <w:tcW w:w="0" w:type="auto"/>
            <w:vAlign w:val="center"/>
            <w:hideMark/>
          </w:tcPr>
          <w:p w:rsidR="007D483B" w:rsidRDefault="007D483B">
            <w:pPr>
              <w:jc w:val="center"/>
              <w:rPr>
                <w:b/>
                <w:bCs/>
              </w:rPr>
            </w:pPr>
            <w:r>
              <w:rPr>
                <w:b/>
                <w:bCs/>
              </w:rPr>
              <w:t>Previous mental health education</w:t>
            </w:r>
          </w:p>
        </w:tc>
        <w:tc>
          <w:tcPr>
            <w:tcW w:w="0" w:type="auto"/>
            <w:vAlign w:val="center"/>
            <w:hideMark/>
          </w:tcPr>
          <w:p w:rsidR="007D483B" w:rsidRDefault="007D483B">
            <w:pPr>
              <w:jc w:val="right"/>
              <w:rPr>
                <w:b/>
                <w:bCs/>
              </w:rPr>
            </w:pPr>
            <w:r>
              <w:rPr>
                <w:b/>
                <w:bCs/>
              </w:rPr>
              <w:t>Inadequate</w:t>
            </w:r>
          </w:p>
        </w:tc>
        <w:tc>
          <w:tcPr>
            <w:tcW w:w="0" w:type="auto"/>
            <w:vAlign w:val="center"/>
            <w:hideMark/>
          </w:tcPr>
          <w:p w:rsidR="007D483B" w:rsidRDefault="007D483B">
            <w:pPr>
              <w:jc w:val="right"/>
              <w:rPr>
                <w:b/>
                <w:bCs/>
              </w:rPr>
            </w:pPr>
            <w:r>
              <w:rPr>
                <w:b/>
                <w:bCs/>
              </w:rPr>
              <w:t>Moderate</w:t>
            </w:r>
          </w:p>
        </w:tc>
        <w:tc>
          <w:tcPr>
            <w:tcW w:w="0" w:type="auto"/>
            <w:vAlign w:val="center"/>
            <w:hideMark/>
          </w:tcPr>
          <w:p w:rsidR="007D483B" w:rsidRDefault="007D483B">
            <w:pPr>
              <w:jc w:val="right"/>
              <w:rPr>
                <w:b/>
                <w:bCs/>
              </w:rPr>
            </w:pPr>
            <w:r>
              <w:rPr>
                <w:b/>
                <w:bCs/>
              </w:rPr>
              <w:t>Adequate</w:t>
            </w:r>
          </w:p>
        </w:tc>
        <w:tc>
          <w:tcPr>
            <w:tcW w:w="0" w:type="auto"/>
            <w:vAlign w:val="center"/>
            <w:hideMark/>
          </w:tcPr>
          <w:p w:rsidR="007D483B" w:rsidRDefault="007D483B">
            <w:pPr>
              <w:jc w:val="right"/>
              <w:rPr>
                <w:b/>
                <w:bCs/>
              </w:rPr>
            </w:pPr>
            <w:r>
              <w:rPr>
                <w:b/>
                <w:bCs/>
              </w:rPr>
              <w:t>Total</w:t>
            </w:r>
          </w:p>
        </w:tc>
      </w:tr>
      <w:tr w:rsidR="007D483B" w:rsidTr="007D483B">
        <w:trPr>
          <w:tblCellSpacing w:w="15" w:type="dxa"/>
        </w:trPr>
        <w:tc>
          <w:tcPr>
            <w:tcW w:w="0" w:type="auto"/>
            <w:vAlign w:val="center"/>
            <w:hideMark/>
          </w:tcPr>
          <w:p w:rsidR="007D483B" w:rsidRDefault="007D483B">
            <w:r>
              <w:t>Yes</w:t>
            </w:r>
          </w:p>
        </w:tc>
        <w:tc>
          <w:tcPr>
            <w:tcW w:w="0" w:type="auto"/>
            <w:vAlign w:val="center"/>
            <w:hideMark/>
          </w:tcPr>
          <w:p w:rsidR="007D483B" w:rsidRDefault="007D483B">
            <w:pPr>
              <w:jc w:val="right"/>
            </w:pPr>
            <w:r>
              <w:t>8</w:t>
            </w:r>
          </w:p>
        </w:tc>
        <w:tc>
          <w:tcPr>
            <w:tcW w:w="0" w:type="auto"/>
            <w:vAlign w:val="center"/>
            <w:hideMark/>
          </w:tcPr>
          <w:p w:rsidR="007D483B" w:rsidRDefault="007D483B">
            <w:pPr>
              <w:jc w:val="right"/>
            </w:pPr>
            <w:r>
              <w:t>30</w:t>
            </w:r>
          </w:p>
        </w:tc>
        <w:tc>
          <w:tcPr>
            <w:tcW w:w="0" w:type="auto"/>
            <w:vAlign w:val="center"/>
            <w:hideMark/>
          </w:tcPr>
          <w:p w:rsidR="007D483B" w:rsidRDefault="007D483B">
            <w:pPr>
              <w:jc w:val="right"/>
            </w:pPr>
            <w:r>
              <w:t>21</w:t>
            </w:r>
          </w:p>
        </w:tc>
        <w:tc>
          <w:tcPr>
            <w:tcW w:w="0" w:type="auto"/>
            <w:vAlign w:val="center"/>
            <w:hideMark/>
          </w:tcPr>
          <w:p w:rsidR="007D483B" w:rsidRDefault="007D483B">
            <w:pPr>
              <w:jc w:val="right"/>
            </w:pPr>
            <w:r>
              <w:t>59</w:t>
            </w:r>
          </w:p>
        </w:tc>
      </w:tr>
      <w:tr w:rsidR="007D483B" w:rsidTr="007D483B">
        <w:trPr>
          <w:tblCellSpacing w:w="15" w:type="dxa"/>
        </w:trPr>
        <w:tc>
          <w:tcPr>
            <w:tcW w:w="0" w:type="auto"/>
            <w:vAlign w:val="center"/>
            <w:hideMark/>
          </w:tcPr>
          <w:p w:rsidR="007D483B" w:rsidRDefault="007D483B">
            <w:r>
              <w:lastRenderedPageBreak/>
              <w:t>No</w:t>
            </w:r>
          </w:p>
        </w:tc>
        <w:tc>
          <w:tcPr>
            <w:tcW w:w="0" w:type="auto"/>
            <w:vAlign w:val="center"/>
            <w:hideMark/>
          </w:tcPr>
          <w:p w:rsidR="007D483B" w:rsidRDefault="007D483B">
            <w:pPr>
              <w:jc w:val="right"/>
            </w:pPr>
            <w:r>
              <w:t>11</w:t>
            </w:r>
          </w:p>
        </w:tc>
        <w:tc>
          <w:tcPr>
            <w:tcW w:w="0" w:type="auto"/>
            <w:vAlign w:val="center"/>
            <w:hideMark/>
          </w:tcPr>
          <w:p w:rsidR="007D483B" w:rsidRDefault="007D483B">
            <w:pPr>
              <w:jc w:val="right"/>
            </w:pPr>
            <w:r>
              <w:t>21</w:t>
            </w:r>
          </w:p>
        </w:tc>
        <w:tc>
          <w:tcPr>
            <w:tcW w:w="0" w:type="auto"/>
            <w:vAlign w:val="center"/>
            <w:hideMark/>
          </w:tcPr>
          <w:p w:rsidR="007D483B" w:rsidRDefault="007D483B">
            <w:pPr>
              <w:jc w:val="right"/>
            </w:pPr>
            <w:r>
              <w:t>9</w:t>
            </w:r>
          </w:p>
        </w:tc>
        <w:tc>
          <w:tcPr>
            <w:tcW w:w="0" w:type="auto"/>
            <w:vAlign w:val="center"/>
            <w:hideMark/>
          </w:tcPr>
          <w:p w:rsidR="007D483B" w:rsidRDefault="007D483B">
            <w:pPr>
              <w:jc w:val="right"/>
            </w:pPr>
            <w:r>
              <w:t>41</w:t>
            </w:r>
          </w:p>
        </w:tc>
      </w:tr>
      <w:tr w:rsidR="007D483B" w:rsidTr="007D483B">
        <w:trPr>
          <w:tblCellSpacing w:w="15" w:type="dxa"/>
        </w:trPr>
        <w:tc>
          <w:tcPr>
            <w:tcW w:w="0" w:type="auto"/>
            <w:vAlign w:val="center"/>
            <w:hideMark/>
          </w:tcPr>
          <w:p w:rsidR="007D483B" w:rsidRDefault="007D483B">
            <w:r>
              <w:rPr>
                <w:rStyle w:val="Strong"/>
              </w:rPr>
              <w:t>Total</w:t>
            </w:r>
          </w:p>
        </w:tc>
        <w:tc>
          <w:tcPr>
            <w:tcW w:w="0" w:type="auto"/>
            <w:vAlign w:val="center"/>
            <w:hideMark/>
          </w:tcPr>
          <w:p w:rsidR="007D483B" w:rsidRDefault="007D483B">
            <w:pPr>
              <w:jc w:val="right"/>
            </w:pPr>
            <w:r>
              <w:rPr>
                <w:rStyle w:val="Strong"/>
              </w:rPr>
              <w:t>19</w:t>
            </w:r>
          </w:p>
        </w:tc>
        <w:tc>
          <w:tcPr>
            <w:tcW w:w="0" w:type="auto"/>
            <w:vAlign w:val="center"/>
            <w:hideMark/>
          </w:tcPr>
          <w:p w:rsidR="007D483B" w:rsidRDefault="007D483B">
            <w:pPr>
              <w:jc w:val="right"/>
            </w:pPr>
            <w:r>
              <w:rPr>
                <w:rStyle w:val="Strong"/>
              </w:rPr>
              <w:t>51</w:t>
            </w:r>
          </w:p>
        </w:tc>
        <w:tc>
          <w:tcPr>
            <w:tcW w:w="0" w:type="auto"/>
            <w:vAlign w:val="center"/>
            <w:hideMark/>
          </w:tcPr>
          <w:p w:rsidR="007D483B" w:rsidRDefault="007D483B">
            <w:pPr>
              <w:jc w:val="right"/>
            </w:pPr>
            <w:r>
              <w:rPr>
                <w:rStyle w:val="Strong"/>
              </w:rPr>
              <w:t>30</w:t>
            </w:r>
          </w:p>
        </w:tc>
        <w:tc>
          <w:tcPr>
            <w:tcW w:w="0" w:type="auto"/>
            <w:vAlign w:val="center"/>
            <w:hideMark/>
          </w:tcPr>
          <w:p w:rsidR="007D483B" w:rsidRDefault="007D483B">
            <w:pPr>
              <w:jc w:val="right"/>
            </w:pPr>
            <w:r>
              <w:rPr>
                <w:rStyle w:val="Strong"/>
              </w:rPr>
              <w:t>100</w:t>
            </w:r>
          </w:p>
        </w:tc>
      </w:tr>
    </w:tbl>
    <w:p w:rsidR="007D483B" w:rsidRDefault="007D483B" w:rsidP="007D483B">
      <w:pPr>
        <w:pStyle w:val="NormalWeb"/>
      </w:pPr>
      <w:r>
        <w:rPr>
          <w:rStyle w:val="Strong"/>
        </w:rPr>
        <w:t>Interpretation:</w:t>
      </w:r>
      <w:r>
        <w:t xml:space="preserve"> Adequate knowledge was observed in 35.6% of participants with previous mental health education, compared with 22.0% of participants without previous education. Statistical testing is required before concluding that the association is significant.</w:t>
      </w:r>
    </w:p>
    <w:p w:rsidR="007D483B" w:rsidRDefault="007D483B" w:rsidP="007D483B">
      <w:pPr>
        <w:pStyle w:val="Heading1"/>
      </w:pPr>
      <w:r>
        <w:t>9. Discussion</w:t>
      </w:r>
    </w:p>
    <w:p w:rsidR="007D483B" w:rsidRDefault="007D483B" w:rsidP="007D483B">
      <w:pPr>
        <w:pStyle w:val="NormalWeb"/>
      </w:pPr>
      <w:r>
        <w:t>The study assesses knowledge regarding nursing interventions for anxiety and depression among nursing students at a selected nursing college in Jaipur, Rajasthan.</w:t>
      </w:r>
    </w:p>
    <w:p w:rsidR="007D483B" w:rsidRDefault="007D483B" w:rsidP="007D483B">
      <w:pPr>
        <w:pStyle w:val="NormalWeb"/>
      </w:pPr>
      <w:r>
        <w:t>The results presented in Table 6 indicate that 51% of participants had moderate knowledge, 30% had adequate knowledge, and 19% had inadequate knowledge. The mean score was 17.0 out of 25, representing 68% of the maximum possible score.</w:t>
      </w:r>
    </w:p>
    <w:p w:rsidR="007D483B" w:rsidRDefault="007D483B" w:rsidP="007D483B">
      <w:pPr>
        <w:pStyle w:val="NormalWeb"/>
      </w:pPr>
      <w:r>
        <w:t>Domain-wise findings indicate comparatively better knowledge regarding the characteristics of anxiety and depression. Knowledge regarding referral and patient safety was comparatively lower. These areas are important because nursing students must recognize when a patient's symptoms require additional assessment, timely referral, or urgent intervention.</w:t>
      </w:r>
    </w:p>
    <w:p w:rsidR="007D483B" w:rsidRDefault="007D483B" w:rsidP="007D483B">
      <w:pPr>
        <w:pStyle w:val="NormalWeb"/>
      </w:pPr>
      <w:r>
        <w:t xml:space="preserve">Nursing students should be trained to communicate empathetically, assess emotional and </w:t>
      </w:r>
      <w:proofErr w:type="spellStart"/>
      <w:r>
        <w:t>behavioral</w:t>
      </w:r>
      <w:proofErr w:type="spellEnd"/>
      <w:r>
        <w:t xml:space="preserve"> changes, respect patient confidentiality, provide appropriate psychoeducation, and collaborate with qualified mental health professionals. They should also understand that screening questionnaires support assessment but do not replace a clinical diagnosis.</w:t>
      </w:r>
    </w:p>
    <w:p w:rsidR="007D483B" w:rsidRDefault="007D483B" w:rsidP="007D483B">
      <w:pPr>
        <w:pStyle w:val="NormalWeb"/>
      </w:pPr>
      <w:r>
        <w:t>The association tables show differences in knowledge categories according to previous clinical exposure and mental health education. These differences require appropriate statistical testing before any conclusions about statistical significance can be made.</w:t>
      </w:r>
    </w:p>
    <w:p w:rsidR="007D483B" w:rsidRDefault="007D483B" w:rsidP="007D483B">
      <w:pPr>
        <w:pStyle w:val="NormalWeb"/>
      </w:pPr>
      <w:r>
        <w:t>The findings may help nursing educators strengthen mental health teaching through case-based learning, simulated patient interactions, supervised clinical experiences, and discussions of appropriate referral pathways.</w:t>
      </w:r>
    </w:p>
    <w:p w:rsidR="007D483B" w:rsidRDefault="007D483B" w:rsidP="007D483B">
      <w:pPr>
        <w:pStyle w:val="NormalWeb"/>
      </w:pPr>
      <w:r>
        <w:t>Published studies have also examined mindfulness and stress-management interventions among nursing students, supporting the importance of mental health education and evidence-based psychological support. However, those intervention studies are not direct evidence of the knowledge distribution reported in the present tables.</w:t>
      </w:r>
    </w:p>
    <w:p w:rsidR="007D483B" w:rsidRDefault="007D483B" w:rsidP="007D483B">
      <w:pPr>
        <w:pStyle w:val="Heading2"/>
      </w:pPr>
      <w:r>
        <w:t>10. Nursing Implications</w:t>
      </w:r>
    </w:p>
    <w:p w:rsidR="007D483B" w:rsidRDefault="007D483B" w:rsidP="007D483B">
      <w:pPr>
        <w:pStyle w:val="Heading3"/>
      </w:pPr>
      <w:r>
        <w:t>Nursing Education</w:t>
      </w:r>
    </w:p>
    <w:p w:rsidR="007D483B" w:rsidRDefault="007D483B" w:rsidP="007D483B">
      <w:pPr>
        <w:pStyle w:val="NormalWeb"/>
      </w:pPr>
      <w:r>
        <w:t>Mental health nursing curricula should include therapeutic communication, recognition of anxiety and depressive symptoms, supportive interventions, and referral practices.</w:t>
      </w:r>
    </w:p>
    <w:p w:rsidR="007D483B" w:rsidRDefault="007D483B" w:rsidP="007D483B">
      <w:pPr>
        <w:pStyle w:val="Heading3"/>
      </w:pPr>
      <w:r>
        <w:lastRenderedPageBreak/>
        <w:t>Nursing Practice</w:t>
      </w:r>
    </w:p>
    <w:p w:rsidR="007D483B" w:rsidRDefault="007D483B" w:rsidP="007D483B">
      <w:pPr>
        <w:pStyle w:val="NormalWeb"/>
      </w:pPr>
      <w:r>
        <w:t xml:space="preserve">Nurses should provide </w:t>
      </w:r>
      <w:proofErr w:type="spellStart"/>
      <w:r>
        <w:t>nonjudgmental</w:t>
      </w:r>
      <w:proofErr w:type="spellEnd"/>
      <w:r>
        <w:t xml:space="preserve"> communication, observe changes in mood and </w:t>
      </w:r>
      <w:proofErr w:type="spellStart"/>
      <w:r>
        <w:t>behavior</w:t>
      </w:r>
      <w:proofErr w:type="spellEnd"/>
      <w:r>
        <w:t>, assess immediate safety concerns when indicated, and facilitate appropriate professional assessment.</w:t>
      </w:r>
    </w:p>
    <w:p w:rsidR="007D483B" w:rsidRDefault="007D483B" w:rsidP="007D483B">
      <w:pPr>
        <w:pStyle w:val="Heading3"/>
      </w:pPr>
      <w:r>
        <w:t>Nursing Administration</w:t>
      </w:r>
    </w:p>
    <w:p w:rsidR="007D483B" w:rsidRDefault="007D483B" w:rsidP="007D483B">
      <w:pPr>
        <w:pStyle w:val="NormalWeb"/>
      </w:pPr>
      <w:r>
        <w:t>Nursing administrators should support continuing education, mental health awareness programs, and clinical protocols for referral and emergency assessment.</w:t>
      </w:r>
    </w:p>
    <w:p w:rsidR="007D483B" w:rsidRDefault="007D483B" w:rsidP="007D483B">
      <w:pPr>
        <w:pStyle w:val="Heading3"/>
      </w:pPr>
      <w:r>
        <w:t>Nursing Research</w:t>
      </w:r>
    </w:p>
    <w:p w:rsidR="007D483B" w:rsidRDefault="007D483B" w:rsidP="007D483B">
      <w:pPr>
        <w:pStyle w:val="NormalWeb"/>
      </w:pPr>
      <w:r>
        <w:t>Future studies may evaluate the effectiveness of structured teaching programs, compare knowledge across nursing institutions, and assess the relationship between knowledge and clinical practice.</w:t>
      </w:r>
    </w:p>
    <w:p w:rsidR="007D483B" w:rsidRDefault="007D483B" w:rsidP="007D483B">
      <w:pPr>
        <w:pStyle w:val="Heading2"/>
      </w:pPr>
      <w:r>
        <w:t>11. Limitations</w:t>
      </w:r>
    </w:p>
    <w:p w:rsidR="007D483B" w:rsidRDefault="007D483B" w:rsidP="007D483B">
      <w:pPr>
        <w:pStyle w:val="NormalWeb"/>
        <w:numPr>
          <w:ilvl w:val="0"/>
          <w:numId w:val="19"/>
        </w:numPr>
      </w:pPr>
      <w:r>
        <w:t>The study is limited to one selected nursing college.</w:t>
      </w:r>
    </w:p>
    <w:p w:rsidR="007D483B" w:rsidRDefault="007D483B" w:rsidP="007D483B">
      <w:pPr>
        <w:pStyle w:val="NormalWeb"/>
        <w:numPr>
          <w:ilvl w:val="0"/>
          <w:numId w:val="19"/>
        </w:numPr>
      </w:pPr>
      <w:r>
        <w:t>The sample size is restricted to 100 nursing students.</w:t>
      </w:r>
    </w:p>
    <w:p w:rsidR="007D483B" w:rsidRDefault="007D483B" w:rsidP="007D483B">
      <w:pPr>
        <w:pStyle w:val="NormalWeb"/>
        <w:numPr>
          <w:ilvl w:val="0"/>
          <w:numId w:val="19"/>
        </w:numPr>
      </w:pPr>
      <w:r>
        <w:t>Self-reported questionnaire responses may be affected by response bias.</w:t>
      </w:r>
    </w:p>
    <w:p w:rsidR="007D483B" w:rsidRDefault="007D483B" w:rsidP="007D483B">
      <w:pPr>
        <w:pStyle w:val="NormalWeb"/>
        <w:numPr>
          <w:ilvl w:val="0"/>
          <w:numId w:val="19"/>
        </w:numPr>
      </w:pPr>
      <w:r>
        <w:t>The cross-sectional design cannot establish causal relationships.</w:t>
      </w:r>
    </w:p>
    <w:p w:rsidR="007D483B" w:rsidRDefault="007D483B" w:rsidP="007D483B">
      <w:pPr>
        <w:pStyle w:val="NormalWeb"/>
        <w:numPr>
          <w:ilvl w:val="0"/>
          <w:numId w:val="19"/>
        </w:numPr>
      </w:pPr>
      <w:r>
        <w:t>The findings depend on the validity and reliability of the knowledge questionnaire.</w:t>
      </w:r>
    </w:p>
    <w:p w:rsidR="007D483B" w:rsidRDefault="007D483B" w:rsidP="007D483B">
      <w:pPr>
        <w:pStyle w:val="Heading2"/>
      </w:pPr>
      <w:r>
        <w:t>12. Recommendations</w:t>
      </w:r>
    </w:p>
    <w:p w:rsidR="007D483B" w:rsidRDefault="007D483B" w:rsidP="007D483B">
      <w:pPr>
        <w:pStyle w:val="NormalWeb"/>
        <w:numPr>
          <w:ilvl w:val="0"/>
          <w:numId w:val="20"/>
        </w:numPr>
      </w:pPr>
      <w:r>
        <w:t>Similar studies may be conducted in multiple nursing colleges.</w:t>
      </w:r>
    </w:p>
    <w:p w:rsidR="007D483B" w:rsidRDefault="007D483B" w:rsidP="007D483B">
      <w:pPr>
        <w:pStyle w:val="NormalWeb"/>
        <w:numPr>
          <w:ilvl w:val="0"/>
          <w:numId w:val="20"/>
        </w:numPr>
      </w:pPr>
      <w:r>
        <w:t>A structured teaching program may be evaluated using a pre-test/post-test design.</w:t>
      </w:r>
    </w:p>
    <w:p w:rsidR="007D483B" w:rsidRDefault="007D483B" w:rsidP="007D483B">
      <w:pPr>
        <w:pStyle w:val="NormalWeb"/>
        <w:numPr>
          <w:ilvl w:val="0"/>
          <w:numId w:val="20"/>
        </w:numPr>
      </w:pPr>
      <w:r>
        <w:t>Future studies may assess both knowledge and observed therapeutic communication skills.</w:t>
      </w:r>
    </w:p>
    <w:p w:rsidR="007D483B" w:rsidRDefault="007D483B" w:rsidP="007D483B">
      <w:pPr>
        <w:pStyle w:val="NormalWeb"/>
        <w:numPr>
          <w:ilvl w:val="0"/>
          <w:numId w:val="20"/>
        </w:numPr>
      </w:pPr>
      <w:r>
        <w:t>Larger samples may be used to improve precision and generalizability.</w:t>
      </w:r>
    </w:p>
    <w:p w:rsidR="007D483B" w:rsidRDefault="007D483B" w:rsidP="007D483B">
      <w:pPr>
        <w:pStyle w:val="NormalWeb"/>
        <w:numPr>
          <w:ilvl w:val="0"/>
          <w:numId w:val="20"/>
        </w:numPr>
      </w:pPr>
      <w:r>
        <w:t>Regular mental health education and supervised clinical learning may be incorporated into nursing curricula.</w:t>
      </w:r>
    </w:p>
    <w:p w:rsidR="007D483B" w:rsidRDefault="007D483B" w:rsidP="007D483B">
      <w:pPr>
        <w:pStyle w:val="Heading2"/>
      </w:pPr>
      <w:r>
        <w:t>13. Conclusion</w:t>
      </w:r>
    </w:p>
    <w:p w:rsidR="007D483B" w:rsidRDefault="007D483B" w:rsidP="007D483B">
      <w:pPr>
        <w:pStyle w:val="NormalWeb"/>
      </w:pPr>
      <w:r>
        <w:t>Knowledge regarding nursing interventions for anxiety and depression is essential for nursing students because appropriate assessment, therapeutic communication, supportive care, and referral can contribute to better patient experiences and safer care.</w:t>
      </w:r>
    </w:p>
    <w:p w:rsidR="007D483B" w:rsidRDefault="007D483B" w:rsidP="007D483B">
      <w:pPr>
        <w:pStyle w:val="NormalWeb"/>
      </w:pPr>
      <w:r>
        <w:t>The results presented in this article show moderate overall knowledge, with comparatively lower scores in referral and patient safety. Educational activities and supervised clinical learning may help strengthen nursing students' understanding of mental health nursing interventions.</w:t>
      </w:r>
    </w:p>
    <w:p w:rsidR="007D483B" w:rsidRDefault="007D483B" w:rsidP="007D483B">
      <w:pPr>
        <w:pStyle w:val="NormalWeb"/>
      </w:pPr>
      <w:r>
        <w:t>The final conclusions should be based on data collected from the actual study population and the results of the planned statistical analysis.</w:t>
      </w:r>
    </w:p>
    <w:p w:rsidR="007D483B" w:rsidRDefault="007D483B" w:rsidP="007D483B">
      <w:pPr>
        <w:pStyle w:val="Heading2"/>
      </w:pPr>
      <w:r>
        <w:lastRenderedPageBreak/>
        <w:t>References (Vancouver Style)</w:t>
      </w:r>
    </w:p>
    <w:p w:rsidR="007D483B" w:rsidRDefault="007D483B" w:rsidP="007D483B">
      <w:pPr>
        <w:pStyle w:val="NormalWeb"/>
        <w:numPr>
          <w:ilvl w:val="0"/>
          <w:numId w:val="21"/>
        </w:numPr>
      </w:pPr>
      <w:r>
        <w:t xml:space="preserve">World Health Organization. Depression [Internet]. Geneva: World Health Organization. Available from: </w:t>
      </w:r>
      <w:hyperlink r:id="rId7" w:history="1">
        <w:r>
          <w:rPr>
            <w:rStyle w:val="Hyperlink"/>
          </w:rPr>
          <w:t>https://www.who.int/news-room/fact-sheets/detail/depression</w:t>
        </w:r>
      </w:hyperlink>
    </w:p>
    <w:p w:rsidR="007D483B" w:rsidRDefault="007D483B" w:rsidP="007D483B">
      <w:pPr>
        <w:pStyle w:val="NormalWeb"/>
        <w:numPr>
          <w:ilvl w:val="0"/>
          <w:numId w:val="21"/>
        </w:numPr>
      </w:pPr>
      <w:r>
        <w:t xml:space="preserve">World Health Organization. Anxiety disorders [Internet]. Geneva: World Health Organization. Available from: </w:t>
      </w:r>
      <w:hyperlink r:id="rId8" w:history="1">
        <w:r>
          <w:rPr>
            <w:rStyle w:val="Hyperlink"/>
          </w:rPr>
          <w:t>https://www.who.int/news-room/fact-sheets/detail/anxiety-disorders</w:t>
        </w:r>
      </w:hyperlink>
    </w:p>
    <w:p w:rsidR="007D483B" w:rsidRDefault="007D483B" w:rsidP="007D483B">
      <w:pPr>
        <w:pStyle w:val="NormalWeb"/>
        <w:numPr>
          <w:ilvl w:val="0"/>
          <w:numId w:val="21"/>
        </w:numPr>
      </w:pPr>
      <w:r>
        <w:t xml:space="preserve">National Institute for Health and Care Excellence. Depression in adults: treatment and management. NICE guideline NG222 [Internet]. London: NICE; 2022. Available from: </w:t>
      </w:r>
      <w:hyperlink r:id="rId9" w:history="1">
        <w:r>
          <w:rPr>
            <w:rStyle w:val="Hyperlink"/>
          </w:rPr>
          <w:t>https://www.nice.org.uk/guidance/ng222</w:t>
        </w:r>
      </w:hyperlink>
    </w:p>
    <w:p w:rsidR="007D483B" w:rsidRDefault="007D483B" w:rsidP="007D483B">
      <w:pPr>
        <w:pStyle w:val="NormalWeb"/>
        <w:numPr>
          <w:ilvl w:val="0"/>
          <w:numId w:val="21"/>
        </w:numPr>
      </w:pPr>
      <w:r>
        <w:t xml:space="preserve">National Institute for Health and Care Excellence. Generalised anxiety disorder and panic disorder in adults: management. Clinical guideline CG113 [Internet]. London: NICE; 2011. Available from: </w:t>
      </w:r>
      <w:hyperlink r:id="rId10" w:history="1">
        <w:r>
          <w:rPr>
            <w:rStyle w:val="Hyperlink"/>
          </w:rPr>
          <w:t>https://www.nice.org.uk/guidance/cg113</w:t>
        </w:r>
      </w:hyperlink>
    </w:p>
    <w:p w:rsidR="007D483B" w:rsidRDefault="007D483B" w:rsidP="007D483B">
      <w:pPr>
        <w:pStyle w:val="NormalWeb"/>
        <w:numPr>
          <w:ilvl w:val="0"/>
          <w:numId w:val="21"/>
        </w:numPr>
      </w:pPr>
      <w:r>
        <w:t xml:space="preserve">Holden S, O'Connell KA. Using meditation to reduce stress, anxiety, and depression in nursing students. J </w:t>
      </w:r>
      <w:proofErr w:type="spellStart"/>
      <w:r>
        <w:t>Nurs</w:t>
      </w:r>
      <w:proofErr w:type="spellEnd"/>
      <w:r>
        <w:t xml:space="preserve"> Educ. 2023;62(8):443-9.</w:t>
      </w:r>
    </w:p>
    <w:p w:rsidR="007D483B" w:rsidRDefault="007D483B" w:rsidP="007D483B">
      <w:pPr>
        <w:pStyle w:val="NormalWeb"/>
        <w:numPr>
          <w:ilvl w:val="0"/>
          <w:numId w:val="21"/>
        </w:numPr>
      </w:pPr>
      <w:proofErr w:type="spellStart"/>
      <w:r>
        <w:t>Yazdani</w:t>
      </w:r>
      <w:proofErr w:type="spellEnd"/>
      <w:r>
        <w:t xml:space="preserve"> M, </w:t>
      </w:r>
      <w:proofErr w:type="spellStart"/>
      <w:r>
        <w:t>Rezaei</w:t>
      </w:r>
      <w:proofErr w:type="spellEnd"/>
      <w:r>
        <w:t xml:space="preserve"> S, </w:t>
      </w:r>
      <w:proofErr w:type="spellStart"/>
      <w:r>
        <w:t>Pahlavanzadeh</w:t>
      </w:r>
      <w:proofErr w:type="spellEnd"/>
      <w:r>
        <w:t xml:space="preserve"> S. The effectiveness of stress management training program on depression, anxiety and stress of the nursing students. Iran J </w:t>
      </w:r>
      <w:proofErr w:type="spellStart"/>
      <w:r>
        <w:t>Nurs</w:t>
      </w:r>
      <w:proofErr w:type="spellEnd"/>
      <w:r>
        <w:t xml:space="preserve"> Midwifery Res. 2010;15(4):208-15.</w:t>
      </w:r>
    </w:p>
    <w:p w:rsidR="007D483B" w:rsidRDefault="007D483B" w:rsidP="007D483B">
      <w:pPr>
        <w:pStyle w:val="NormalWeb"/>
        <w:numPr>
          <w:ilvl w:val="0"/>
          <w:numId w:val="21"/>
        </w:numPr>
      </w:pPr>
      <w:proofErr w:type="spellStart"/>
      <w:r>
        <w:t>Aloufi</w:t>
      </w:r>
      <w:proofErr w:type="spellEnd"/>
      <w:r>
        <w:t xml:space="preserve"> MA, Jarden RJ, </w:t>
      </w:r>
      <w:proofErr w:type="spellStart"/>
      <w:r>
        <w:t>Gerdtz</w:t>
      </w:r>
      <w:proofErr w:type="spellEnd"/>
      <w:r>
        <w:t xml:space="preserve"> MF, </w:t>
      </w:r>
      <w:proofErr w:type="spellStart"/>
      <w:r>
        <w:t>Kapp</w:t>
      </w:r>
      <w:proofErr w:type="spellEnd"/>
      <w:r>
        <w:t xml:space="preserve"> S. Reducing stress, anxiety and depression in undergraduate nursing students: systematic review. Nurse </w:t>
      </w:r>
      <w:proofErr w:type="spellStart"/>
      <w:r>
        <w:t>Educ</w:t>
      </w:r>
      <w:proofErr w:type="spellEnd"/>
      <w:r>
        <w:t xml:space="preserve"> Today. </w:t>
      </w:r>
      <w:proofErr w:type="gramStart"/>
      <w:r>
        <w:t>2021;102:104877</w:t>
      </w:r>
      <w:proofErr w:type="gramEnd"/>
      <w:r>
        <w:t>.</w:t>
      </w:r>
    </w:p>
    <w:p w:rsidR="007D483B" w:rsidRDefault="007D483B" w:rsidP="007D483B">
      <w:pPr>
        <w:pStyle w:val="NormalWeb"/>
        <w:numPr>
          <w:ilvl w:val="0"/>
          <w:numId w:val="21"/>
        </w:numPr>
      </w:pPr>
      <w:r>
        <w:t xml:space="preserve">Johansson N. Effectiveness of a stress management program in reducing anxiety and depression in nursing students. J Am </w:t>
      </w:r>
      <w:proofErr w:type="spellStart"/>
      <w:r>
        <w:t>Coll</w:t>
      </w:r>
      <w:proofErr w:type="spellEnd"/>
      <w:r>
        <w:t xml:space="preserve"> Health. 1991;40(3):125-9.</w:t>
      </w:r>
    </w:p>
    <w:p w:rsidR="007D483B" w:rsidRDefault="007D483B" w:rsidP="007D483B">
      <w:pPr>
        <w:pStyle w:val="NormalWeb"/>
        <w:numPr>
          <w:ilvl w:val="0"/>
          <w:numId w:val="21"/>
        </w:numPr>
      </w:pPr>
      <w:proofErr w:type="spellStart"/>
      <w:r>
        <w:t>Gülnar</w:t>
      </w:r>
      <w:proofErr w:type="spellEnd"/>
      <w:r>
        <w:t xml:space="preserve"> E, </w:t>
      </w:r>
      <w:proofErr w:type="spellStart"/>
      <w:r>
        <w:t>Aşık</w:t>
      </w:r>
      <w:proofErr w:type="spellEnd"/>
      <w:r>
        <w:t xml:space="preserve"> E, </w:t>
      </w:r>
      <w:proofErr w:type="spellStart"/>
      <w:r>
        <w:t>Özveren</w:t>
      </w:r>
      <w:proofErr w:type="spellEnd"/>
      <w:r>
        <w:t xml:space="preserve"> H. The effect of a stress management program on first-year nursing students' clinical stress: a randomized controlled experimental study. Nurse </w:t>
      </w:r>
      <w:proofErr w:type="spellStart"/>
      <w:r>
        <w:t>Educ</w:t>
      </w:r>
      <w:proofErr w:type="spellEnd"/>
      <w:r>
        <w:t xml:space="preserve"> Today. </w:t>
      </w:r>
      <w:proofErr w:type="gramStart"/>
      <w:r>
        <w:t>2024;136:106131</w:t>
      </w:r>
      <w:proofErr w:type="gramEnd"/>
      <w:r>
        <w:t>.</w:t>
      </w:r>
    </w:p>
    <w:p w:rsidR="007D483B" w:rsidRDefault="007D483B" w:rsidP="007D483B">
      <w:pPr>
        <w:pStyle w:val="NormalWeb"/>
        <w:numPr>
          <w:ilvl w:val="0"/>
          <w:numId w:val="21"/>
        </w:numPr>
      </w:pPr>
      <w:r>
        <w:t>World Health Organization. World mental health report: transforming mental health for all. Geneva: World Health Organization; 2022.</w:t>
      </w:r>
    </w:p>
    <w:p w:rsidR="00B53595" w:rsidRDefault="00B53595" w:rsidP="007D483B">
      <w:pPr>
        <w:spacing w:after="0" w:line="240" w:lineRule="auto"/>
        <w:jc w:val="center"/>
        <w:rPr>
          <w:rFonts w:ascii="Times New Roman" w:eastAsia="Times New Roman" w:hAnsi="Times New Roman" w:cs="Times New Roman"/>
          <w:color w:val="0D0D0D"/>
          <w:sz w:val="24"/>
          <w:szCs w:val="24"/>
        </w:rPr>
      </w:pPr>
    </w:p>
    <w:sectPr w:rsidR="00B5359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auto"/>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E6B82"/>
    <w:multiLevelType w:val="multilevel"/>
    <w:tmpl w:val="6AAE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42B0F"/>
    <w:multiLevelType w:val="hybridMultilevel"/>
    <w:tmpl w:val="FD1CD51E"/>
    <w:lvl w:ilvl="0" w:tplc="40090001">
      <w:start w:val="1"/>
      <w:numFmt w:val="bullet"/>
      <w:lvlText w:val=""/>
      <w:lvlJc w:val="left"/>
      <w:pPr>
        <w:ind w:left="1080" w:hanging="360"/>
      </w:pPr>
      <w:rPr>
        <w:rFonts w:ascii="Symbol" w:hAnsi="Symbol" w:hint="default"/>
      </w:rPr>
    </w:lvl>
    <w:lvl w:ilvl="1" w:tplc="957C4068">
      <w:numFmt w:val="bullet"/>
      <w:lvlText w:val="-"/>
      <w:lvlJc w:val="left"/>
      <w:pPr>
        <w:ind w:left="1800" w:hanging="360"/>
      </w:pPr>
      <w:rPr>
        <w:rFonts w:ascii="Times New Roman" w:eastAsia="Times New Roman" w:hAnsi="Times New Roman" w:cs="Times New Roman"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1080320E"/>
    <w:multiLevelType w:val="hybridMultilevel"/>
    <w:tmpl w:val="0EAE830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CC024E0"/>
    <w:multiLevelType w:val="multilevel"/>
    <w:tmpl w:val="99FE0A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E9B639B"/>
    <w:multiLevelType w:val="multilevel"/>
    <w:tmpl w:val="20502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172CDF"/>
    <w:multiLevelType w:val="multilevel"/>
    <w:tmpl w:val="503EB5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0211509"/>
    <w:multiLevelType w:val="hybridMultilevel"/>
    <w:tmpl w:val="6B82BF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5872CBD"/>
    <w:multiLevelType w:val="multilevel"/>
    <w:tmpl w:val="0186D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EE3CBC"/>
    <w:multiLevelType w:val="hybridMultilevel"/>
    <w:tmpl w:val="A7807E90"/>
    <w:lvl w:ilvl="0" w:tplc="F1782C02">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0182099"/>
    <w:multiLevelType w:val="hybridMultilevel"/>
    <w:tmpl w:val="726E5C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B8024DF"/>
    <w:multiLevelType w:val="hybridMultilevel"/>
    <w:tmpl w:val="53E03604"/>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11" w15:restartNumberingAfterBreak="0">
    <w:nsid w:val="50D11666"/>
    <w:multiLevelType w:val="hybridMultilevel"/>
    <w:tmpl w:val="178469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1433980"/>
    <w:multiLevelType w:val="multilevel"/>
    <w:tmpl w:val="5DC00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B171FE"/>
    <w:multiLevelType w:val="hybridMultilevel"/>
    <w:tmpl w:val="F93C293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98F07B0"/>
    <w:multiLevelType w:val="multilevel"/>
    <w:tmpl w:val="4260EE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8E02DF1"/>
    <w:multiLevelType w:val="multilevel"/>
    <w:tmpl w:val="40207D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8FA0FE0"/>
    <w:multiLevelType w:val="multilevel"/>
    <w:tmpl w:val="7B40C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9E766C"/>
    <w:multiLevelType w:val="multilevel"/>
    <w:tmpl w:val="DEF88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1B62D22"/>
    <w:multiLevelType w:val="multilevel"/>
    <w:tmpl w:val="6924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E57BA0"/>
    <w:multiLevelType w:val="multilevel"/>
    <w:tmpl w:val="D714C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08510F"/>
    <w:multiLevelType w:val="multilevel"/>
    <w:tmpl w:val="059A4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15"/>
  </w:num>
  <w:num w:numId="4">
    <w:abstractNumId w:val="17"/>
  </w:num>
  <w:num w:numId="5">
    <w:abstractNumId w:val="14"/>
  </w:num>
  <w:num w:numId="6">
    <w:abstractNumId w:val="11"/>
  </w:num>
  <w:num w:numId="7">
    <w:abstractNumId w:val="8"/>
  </w:num>
  <w:num w:numId="8">
    <w:abstractNumId w:val="1"/>
  </w:num>
  <w:num w:numId="9">
    <w:abstractNumId w:val="13"/>
  </w:num>
  <w:num w:numId="10">
    <w:abstractNumId w:val="2"/>
  </w:num>
  <w:num w:numId="11">
    <w:abstractNumId w:val="9"/>
  </w:num>
  <w:num w:numId="12">
    <w:abstractNumId w:val="10"/>
  </w:num>
  <w:num w:numId="13">
    <w:abstractNumId w:val="6"/>
  </w:num>
  <w:num w:numId="14">
    <w:abstractNumId w:val="4"/>
  </w:num>
  <w:num w:numId="15">
    <w:abstractNumId w:val="7"/>
  </w:num>
  <w:num w:numId="16">
    <w:abstractNumId w:val="12"/>
  </w:num>
  <w:num w:numId="17">
    <w:abstractNumId w:val="18"/>
  </w:num>
  <w:num w:numId="18">
    <w:abstractNumId w:val="16"/>
  </w:num>
  <w:num w:numId="19">
    <w:abstractNumId w:val="0"/>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B53595"/>
    <w:rsid w:val="001656DA"/>
    <w:rsid w:val="00361629"/>
    <w:rsid w:val="00392545"/>
    <w:rsid w:val="0058167F"/>
    <w:rsid w:val="00681ED8"/>
    <w:rsid w:val="007363F8"/>
    <w:rsid w:val="0076660D"/>
    <w:rsid w:val="007D483B"/>
    <w:rsid w:val="00816C35"/>
    <w:rsid w:val="00913093"/>
    <w:rsid w:val="009A60C0"/>
    <w:rsid w:val="00A56A72"/>
    <w:rsid w:val="00A66A2A"/>
    <w:rsid w:val="00A82E18"/>
    <w:rsid w:val="00AE204B"/>
    <w:rsid w:val="00B2333E"/>
    <w:rsid w:val="00B43DA4"/>
    <w:rsid w:val="00B53595"/>
    <w:rsid w:val="00BA5DC5"/>
    <w:rsid w:val="00C31B10"/>
    <w:rsid w:val="00C6550E"/>
    <w:rsid w:val="00CE42C6"/>
    <w:rsid w:val="00E611B5"/>
    <w:rsid w:val="00E93068"/>
    <w:rsid w:val="00ED027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91C9"/>
  <w15:docId w15:val="{40DE6B2E-F2F1-4780-82E9-1A8A803A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E2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04B"/>
    <w:rPr>
      <w:rFonts w:ascii="Tahoma" w:hAnsi="Tahoma" w:cs="Tahoma"/>
      <w:sz w:val="16"/>
      <w:szCs w:val="16"/>
    </w:rPr>
  </w:style>
  <w:style w:type="paragraph" w:styleId="NormalWeb">
    <w:name w:val="Normal (Web)"/>
    <w:basedOn w:val="Normal"/>
    <w:uiPriority w:val="99"/>
    <w:unhideWhenUsed/>
    <w:rsid w:val="00B43D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63F8"/>
    <w:rPr>
      <w:i/>
      <w:iCs/>
    </w:rPr>
  </w:style>
  <w:style w:type="character" w:styleId="Hyperlink">
    <w:name w:val="Hyperlink"/>
    <w:basedOn w:val="DefaultParagraphFont"/>
    <w:uiPriority w:val="99"/>
    <w:semiHidden/>
    <w:unhideWhenUsed/>
    <w:rsid w:val="007363F8"/>
    <w:rPr>
      <w:color w:val="0000FF"/>
      <w:u w:val="single"/>
    </w:rPr>
  </w:style>
  <w:style w:type="table" w:styleId="TableGrid">
    <w:name w:val="Table Grid"/>
    <w:basedOn w:val="TableNormal"/>
    <w:uiPriority w:val="59"/>
    <w:rsid w:val="00681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D48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155990">
      <w:bodyDiv w:val="1"/>
      <w:marLeft w:val="0"/>
      <w:marRight w:val="0"/>
      <w:marTop w:val="0"/>
      <w:marBottom w:val="0"/>
      <w:divBdr>
        <w:top w:val="none" w:sz="0" w:space="0" w:color="auto"/>
        <w:left w:val="none" w:sz="0" w:space="0" w:color="auto"/>
        <w:bottom w:val="none" w:sz="0" w:space="0" w:color="auto"/>
        <w:right w:val="none" w:sz="0" w:space="0" w:color="auto"/>
      </w:divBdr>
    </w:div>
    <w:div w:id="1590775555">
      <w:bodyDiv w:val="1"/>
      <w:marLeft w:val="0"/>
      <w:marRight w:val="0"/>
      <w:marTop w:val="0"/>
      <w:marBottom w:val="0"/>
      <w:divBdr>
        <w:top w:val="none" w:sz="0" w:space="0" w:color="auto"/>
        <w:left w:val="none" w:sz="0" w:space="0" w:color="auto"/>
        <w:bottom w:val="none" w:sz="0" w:space="0" w:color="auto"/>
        <w:right w:val="none" w:sz="0" w:space="0" w:color="auto"/>
      </w:divBdr>
      <w:divsChild>
        <w:div w:id="10229681">
          <w:marLeft w:val="0"/>
          <w:marRight w:val="0"/>
          <w:marTop w:val="0"/>
          <w:marBottom w:val="0"/>
          <w:divBdr>
            <w:top w:val="none" w:sz="0" w:space="0" w:color="auto"/>
            <w:left w:val="none" w:sz="0" w:space="0" w:color="auto"/>
            <w:bottom w:val="none" w:sz="0" w:space="0" w:color="auto"/>
            <w:right w:val="none" w:sz="0" w:space="0" w:color="auto"/>
          </w:divBdr>
        </w:div>
      </w:divsChild>
    </w:div>
    <w:div w:id="1992515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anxiety-disorders" TargetMode="External"/><Relationship Id="rId3" Type="http://schemas.openxmlformats.org/officeDocument/2006/relationships/styles" Target="styles.xml"/><Relationship Id="rId7" Type="http://schemas.openxmlformats.org/officeDocument/2006/relationships/hyperlink" Target="https://www.who.int/news-room/fact-sheets/detail/depressio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pbhawaria@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ice.org.uk/guidance/cg113" TargetMode="External"/><Relationship Id="rId4" Type="http://schemas.openxmlformats.org/officeDocument/2006/relationships/settings" Target="settings.xml"/><Relationship Id="rId9" Type="http://schemas.openxmlformats.org/officeDocument/2006/relationships/hyperlink" Target="https://www.nice.org.uk/guidance/ng2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E384F-FDC3-4843-A581-A7FEAB7F3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2875</Words>
  <Characters>16392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62</cp:revision>
  <dcterms:created xsi:type="dcterms:W3CDTF">2026-10-14T18:56:00Z</dcterms:created>
  <dcterms:modified xsi:type="dcterms:W3CDTF">2026-10-15T08:23:00Z</dcterms:modified>
</cp:coreProperties>
</file>